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EF6F7">
      <w:pPr>
        <w:pStyle w:val="31"/>
        <w:keepNext w:val="0"/>
        <w:keepLines w:val="0"/>
        <w:pageBreakBefore w:val="0"/>
        <w:widowControl/>
        <w:kinsoku/>
        <w:wordWrap/>
        <w:overflowPunct/>
        <w:topLinePunct w:val="0"/>
        <w:autoSpaceDE/>
        <w:autoSpaceDN/>
        <w:bidi w:val="0"/>
        <w:adjustRightInd/>
        <w:snapToGrid/>
        <w:spacing w:line="1200" w:lineRule="exact"/>
        <w:jc w:val="center"/>
        <w:textAlignment w:val="auto"/>
        <w:rPr>
          <w:rFonts w:hint="default" w:ascii="宋体" w:hAnsi="宋体" w:eastAsia="宋体" w:cs="宋体"/>
          <w:color w:val="auto"/>
          <w:sz w:val="84"/>
          <w:szCs w:val="84"/>
          <w:highlight w:val="none"/>
        </w:rPr>
      </w:pPr>
    </w:p>
    <w:p w14:paraId="1C3BD7FF">
      <w:pPr>
        <w:pStyle w:val="31"/>
        <w:keepNext w:val="0"/>
        <w:keepLines w:val="0"/>
        <w:pageBreakBefore w:val="0"/>
        <w:widowControl/>
        <w:kinsoku/>
        <w:wordWrap/>
        <w:overflowPunct/>
        <w:topLinePunct w:val="0"/>
        <w:autoSpaceDE/>
        <w:autoSpaceDN/>
        <w:bidi w:val="0"/>
        <w:adjustRightInd/>
        <w:snapToGrid/>
        <w:spacing w:line="1200" w:lineRule="exact"/>
        <w:jc w:val="center"/>
        <w:textAlignment w:val="auto"/>
        <w:rPr>
          <w:rFonts w:hint="default" w:ascii="宋体" w:hAnsi="宋体" w:eastAsia="宋体" w:cs="宋体"/>
          <w:b/>
          <w:color w:val="auto"/>
          <w:sz w:val="84"/>
          <w:szCs w:val="84"/>
          <w:highlight w:val="none"/>
          <w:lang w:eastAsia="zh-CN"/>
        </w:rPr>
      </w:pPr>
      <w:r>
        <w:rPr>
          <w:rFonts w:ascii="宋体" w:hAnsi="宋体" w:eastAsia="宋体" w:cs="宋体"/>
          <w:b/>
          <w:color w:val="auto"/>
          <w:sz w:val="84"/>
          <w:szCs w:val="84"/>
          <w:highlight w:val="none"/>
          <w:lang w:eastAsia="zh-CN"/>
        </w:rPr>
        <w:t>货物与服务项目</w:t>
      </w:r>
    </w:p>
    <w:p w14:paraId="1173F51D">
      <w:pPr>
        <w:pStyle w:val="31"/>
        <w:keepNext w:val="0"/>
        <w:keepLines w:val="0"/>
        <w:pageBreakBefore w:val="0"/>
        <w:widowControl/>
        <w:kinsoku/>
        <w:wordWrap/>
        <w:overflowPunct/>
        <w:topLinePunct w:val="0"/>
        <w:autoSpaceDE/>
        <w:autoSpaceDN/>
        <w:bidi w:val="0"/>
        <w:adjustRightInd/>
        <w:snapToGrid/>
        <w:spacing w:line="1200" w:lineRule="exact"/>
        <w:jc w:val="center"/>
        <w:textAlignment w:val="auto"/>
        <w:rPr>
          <w:rFonts w:hint="default" w:ascii="宋体" w:hAnsi="宋体" w:eastAsia="宋体" w:cs="宋体"/>
          <w:color w:val="auto"/>
          <w:sz w:val="84"/>
          <w:szCs w:val="84"/>
          <w:highlight w:val="none"/>
        </w:rPr>
      </w:pPr>
      <w:bookmarkStart w:id="0" w:name="_Toc9085"/>
      <w:r>
        <w:rPr>
          <w:rFonts w:ascii="宋体" w:hAnsi="宋体" w:eastAsia="宋体" w:cs="宋体"/>
          <w:b/>
          <w:color w:val="auto"/>
          <w:sz w:val="84"/>
          <w:szCs w:val="84"/>
          <w:highlight w:val="none"/>
        </w:rPr>
        <w:t>竞争性谈判文件</w:t>
      </w:r>
      <w:bookmarkEnd w:id="0"/>
    </w:p>
    <w:p w14:paraId="385AAFED">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1B004AAE">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76D3DB45">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21556CD9">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color w:val="auto"/>
          <w:sz w:val="32"/>
          <w:szCs w:val="32"/>
          <w:highlight w:val="none"/>
          <w:lang w:eastAsia="zh-CN"/>
        </w:rPr>
      </w:pPr>
      <w:bookmarkStart w:id="1" w:name="_Toc27640"/>
      <w:r>
        <w:rPr>
          <w:rFonts w:hint="eastAsia" w:ascii="宋体" w:hAnsi="宋体" w:eastAsia="宋体" w:cs="宋体"/>
          <w:b/>
          <w:color w:val="auto"/>
          <w:sz w:val="32"/>
          <w:szCs w:val="32"/>
          <w:highlight w:val="none"/>
        </w:rPr>
        <w:t>项目名称：</w:t>
      </w:r>
      <w:bookmarkEnd w:id="1"/>
      <w:r>
        <w:rPr>
          <w:rFonts w:hint="eastAsia" w:ascii="宋体" w:hAnsi="宋体" w:eastAsia="宋体" w:cs="宋体"/>
          <w:b/>
          <w:color w:val="auto"/>
          <w:sz w:val="32"/>
          <w:szCs w:val="32"/>
          <w:highlight w:val="none"/>
          <w:lang w:eastAsia="zh-CN"/>
        </w:rPr>
        <w:t>福建省病犯监狱（福建省建新医院）一标段智能化系统采购项目配套测试测评服务项目</w:t>
      </w:r>
    </w:p>
    <w:p w14:paraId="544BA764">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color w:val="auto"/>
          <w:sz w:val="32"/>
          <w:szCs w:val="32"/>
          <w:highlight w:val="none"/>
          <w:lang w:eastAsia="zh-CN"/>
        </w:rPr>
      </w:pPr>
      <w:bookmarkStart w:id="2" w:name="_Toc18020"/>
      <w:r>
        <w:rPr>
          <w:rFonts w:hint="eastAsia" w:ascii="宋体" w:hAnsi="宋体" w:eastAsia="宋体" w:cs="宋体"/>
          <w:b/>
          <w:color w:val="auto"/>
          <w:sz w:val="32"/>
          <w:szCs w:val="32"/>
          <w:highlight w:val="none"/>
        </w:rPr>
        <w:t>项目编号：</w:t>
      </w:r>
      <w:bookmarkEnd w:id="2"/>
      <w:r>
        <w:rPr>
          <w:rFonts w:hint="eastAsia" w:ascii="宋体" w:hAnsi="宋体" w:eastAsia="宋体" w:cs="宋体"/>
          <w:b/>
          <w:color w:val="auto"/>
          <w:sz w:val="32"/>
          <w:szCs w:val="32"/>
          <w:highlight w:val="none"/>
          <w:lang w:eastAsia="zh-CN"/>
        </w:rPr>
        <w:t>FJZC-TP-2026-030</w:t>
      </w:r>
    </w:p>
    <w:p w14:paraId="01D866B7">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2B52BC5B">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59C52806">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5260FDDB">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lang w:eastAsia="zh-CN"/>
        </w:rPr>
      </w:pPr>
      <w:bookmarkStart w:id="3" w:name="_Toc2942"/>
      <w:r>
        <w:rPr>
          <w:rFonts w:hint="eastAsia" w:ascii="宋体" w:hAnsi="宋体" w:eastAsia="宋体" w:cs="宋体"/>
          <w:b/>
          <w:color w:val="auto"/>
          <w:sz w:val="32"/>
          <w:szCs w:val="32"/>
          <w:highlight w:val="none"/>
        </w:rPr>
        <w:t>采购人：</w:t>
      </w:r>
      <w:bookmarkEnd w:id="3"/>
      <w:r>
        <w:rPr>
          <w:rFonts w:hint="eastAsia" w:ascii="宋体" w:hAnsi="宋体" w:eastAsia="宋体" w:cs="宋体"/>
          <w:b/>
          <w:color w:val="auto"/>
          <w:sz w:val="32"/>
          <w:szCs w:val="32"/>
          <w:highlight w:val="none"/>
          <w:lang w:eastAsia="zh-CN"/>
        </w:rPr>
        <w:t>福建省建新医院</w:t>
      </w:r>
    </w:p>
    <w:p w14:paraId="5A31316D">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1D2FD6FB">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auto"/>
          <w:sz w:val="32"/>
          <w:szCs w:val="32"/>
          <w:highlight w:val="none"/>
        </w:rPr>
      </w:pPr>
    </w:p>
    <w:p w14:paraId="237C3311">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eastAsia="宋体" w:cs="宋体"/>
          <w:color w:val="auto"/>
          <w:sz w:val="32"/>
          <w:szCs w:val="32"/>
          <w:highlight w:val="none"/>
          <w:lang w:eastAsia="zh-CN"/>
        </w:rPr>
      </w:pPr>
      <w:r>
        <w:rPr>
          <w:rFonts w:hint="eastAsia" w:ascii="宋体" w:hAnsi="宋体" w:eastAsia="宋体" w:cs="宋体"/>
          <w:b/>
          <w:color w:val="auto"/>
          <w:sz w:val="32"/>
          <w:szCs w:val="32"/>
          <w:highlight w:val="none"/>
        </w:rPr>
        <w:t>代理机构：</w:t>
      </w:r>
      <w:r>
        <w:rPr>
          <w:rFonts w:hint="eastAsia" w:ascii="宋体" w:hAnsi="宋体" w:eastAsia="宋体" w:cs="宋体"/>
          <w:b/>
          <w:color w:val="auto"/>
          <w:sz w:val="32"/>
          <w:szCs w:val="32"/>
          <w:highlight w:val="none"/>
          <w:lang w:eastAsia="zh-CN"/>
        </w:rPr>
        <w:t>福建省卓诚招投标代理有限责任公司</w:t>
      </w:r>
    </w:p>
    <w:p w14:paraId="6CA53933">
      <w:pPr>
        <w:pStyle w:val="31"/>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default" w:ascii="宋体" w:hAnsi="宋体" w:eastAsia="宋体" w:cs="宋体"/>
          <w:color w:val="auto"/>
          <w:highlight w:val="none"/>
        </w:rPr>
      </w:pPr>
      <w:r>
        <w:rPr>
          <w:rFonts w:hint="eastAsia" w:ascii="宋体" w:hAnsi="宋体" w:eastAsia="宋体" w:cs="宋体"/>
          <w:b/>
          <w:color w:val="auto"/>
          <w:sz w:val="32"/>
          <w:szCs w:val="32"/>
          <w:highlight w:val="none"/>
        </w:rPr>
        <w:t>编制时间：20</w:t>
      </w:r>
      <w:r>
        <w:rPr>
          <w:rFonts w:hint="eastAsia" w:ascii="宋体" w:hAnsi="宋体" w:eastAsia="宋体" w:cs="宋体"/>
          <w:b/>
          <w:color w:val="auto"/>
          <w:sz w:val="32"/>
          <w:szCs w:val="32"/>
          <w:highlight w:val="none"/>
          <w:lang w:eastAsia="zh-CN"/>
        </w:rPr>
        <w:t>2</w:t>
      </w:r>
      <w:r>
        <w:rPr>
          <w:rFonts w:hint="eastAsia" w:ascii="宋体" w:hAnsi="宋体" w:eastAsia="宋体" w:cs="宋体"/>
          <w:b/>
          <w:color w:val="auto"/>
          <w:sz w:val="32"/>
          <w:szCs w:val="32"/>
          <w:highlight w:val="none"/>
          <w:lang w:val="en-US" w:eastAsia="zh-CN"/>
        </w:rPr>
        <w:t>6</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lang w:val="en-US" w:eastAsia="zh-CN"/>
        </w:rPr>
        <w:t>10</w:t>
      </w:r>
      <w:r>
        <w:rPr>
          <w:rFonts w:hint="eastAsia" w:ascii="宋体" w:hAnsi="宋体" w:eastAsia="宋体" w:cs="宋体"/>
          <w:b/>
          <w:color w:val="auto"/>
          <w:sz w:val="32"/>
          <w:szCs w:val="32"/>
          <w:highlight w:val="none"/>
        </w:rPr>
        <w:t>月</w:t>
      </w:r>
    </w:p>
    <w:p w14:paraId="58E6AFA4">
      <w:pPr>
        <w:pStyle w:val="31"/>
        <w:jc w:val="center"/>
        <w:rPr>
          <w:rFonts w:hint="default" w:ascii="宋体" w:hAnsi="宋体" w:eastAsia="宋体" w:cs="宋体"/>
          <w:b/>
          <w:color w:val="0000FF"/>
          <w:sz w:val="36"/>
          <w:highlight w:val="none"/>
        </w:rPr>
        <w:sectPr>
          <w:pgSz w:w="11906" w:h="16838"/>
          <w:pgMar w:top="1417" w:right="1417" w:bottom="1417" w:left="1417" w:header="851" w:footer="992" w:gutter="0"/>
          <w:cols w:space="0" w:num="1"/>
          <w:rtlGutter w:val="0"/>
          <w:docGrid w:type="lines" w:linePitch="312" w:charSpace="0"/>
        </w:sectPr>
      </w:pPr>
    </w:p>
    <w:sdt>
      <w:sdtPr>
        <w:rPr>
          <w:rFonts w:hint="eastAsia" w:ascii="宋体" w:hAnsi="宋体" w:eastAsia="宋体" w:cs="宋体"/>
          <w:b/>
          <w:bCs/>
          <w:color w:val="0000FF"/>
          <w:sz w:val="36"/>
          <w:szCs w:val="44"/>
          <w:highlight w:val="none"/>
        </w:rPr>
        <w:id w:val="147450883"/>
        <w15:color w:val="DBDBDB"/>
        <w:docPartObj>
          <w:docPartGallery w:val="Table of Contents"/>
          <w:docPartUnique/>
        </w:docPartObj>
      </w:sdtPr>
      <w:sdtEndPr>
        <w:rPr>
          <w:rFonts w:hint="eastAsia" w:ascii="宋体" w:hAnsi="宋体" w:eastAsia="宋体" w:cs="宋体"/>
          <w:b/>
          <w:bCs/>
          <w:color w:val="0000FF"/>
          <w:sz w:val="21"/>
          <w:szCs w:val="24"/>
          <w:highlight w:val="none"/>
        </w:rPr>
      </w:sdtEndPr>
      <w:sdtContent>
        <w:p w14:paraId="7737F729">
          <w:pPr>
            <w:jc w:val="center"/>
            <w:rPr>
              <w:rFonts w:ascii="宋体" w:hAnsi="宋体" w:eastAsia="宋体" w:cs="宋体"/>
              <w:b/>
              <w:bCs/>
              <w:color w:val="auto"/>
              <w:sz w:val="36"/>
              <w:szCs w:val="44"/>
              <w:highlight w:val="none"/>
            </w:rPr>
          </w:pPr>
          <w:r>
            <w:rPr>
              <w:rFonts w:hint="eastAsia" w:ascii="宋体" w:hAnsi="宋体" w:eastAsia="宋体" w:cs="宋体"/>
              <w:b/>
              <w:bCs/>
              <w:color w:val="auto"/>
              <w:sz w:val="36"/>
              <w:szCs w:val="44"/>
              <w:highlight w:val="none"/>
            </w:rPr>
            <w:t>目录</w:t>
          </w:r>
        </w:p>
        <w:p w14:paraId="148D652C">
          <w:pPr>
            <w:pStyle w:val="41"/>
            <w:tabs>
              <w:tab w:val="right" w:leader="dot" w:pos="9072"/>
            </w:tabs>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TOC \o "1-1" \h \u </w:instrText>
          </w:r>
          <w:r>
            <w:rPr>
              <w:rFonts w:hint="eastAsia" w:ascii="宋体" w:hAnsi="宋体" w:cs="宋体"/>
              <w:color w:val="auto"/>
              <w:highlight w:val="none"/>
            </w:rPr>
            <w:fldChar w:fldCharType="separate"/>
          </w:r>
        </w:p>
        <w:p w14:paraId="5BB5096E">
          <w:pPr>
            <w:pStyle w:val="41"/>
            <w:tabs>
              <w:tab w:val="right" w:leader="dot" w:pos="9072"/>
            </w:tabs>
            <w:spacing w:line="480" w:lineRule="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"_Toc12100" </w:instrText>
          </w:r>
          <w:r>
            <w:rPr>
              <w:color w:val="auto"/>
              <w:highlight w:val="none"/>
            </w:rPr>
            <w:fldChar w:fldCharType="separate"/>
          </w:r>
          <w:r>
            <w:rPr>
              <w:rFonts w:hint="eastAsia" w:ascii="宋体" w:hAnsi="宋体" w:cs="宋体"/>
              <w:color w:val="auto"/>
              <w:sz w:val="24"/>
              <w:szCs w:val="24"/>
              <w:highlight w:val="none"/>
            </w:rPr>
            <w:t>第一章  采购公告/采购邀请书</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_Toc12100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2</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6057F0E6">
          <w:pPr>
            <w:pStyle w:val="41"/>
            <w:tabs>
              <w:tab w:val="right" w:leader="dot" w:pos="9072"/>
            </w:tabs>
            <w:spacing w:line="480" w:lineRule="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"_Toc23073" </w:instrText>
          </w:r>
          <w:r>
            <w:rPr>
              <w:color w:val="auto"/>
              <w:highlight w:val="none"/>
            </w:rPr>
            <w:fldChar w:fldCharType="separate"/>
          </w:r>
          <w:r>
            <w:rPr>
              <w:rFonts w:hint="eastAsia" w:ascii="宋体" w:hAnsi="宋体" w:cs="宋体"/>
              <w:color w:val="auto"/>
              <w:sz w:val="24"/>
              <w:szCs w:val="24"/>
              <w:highlight w:val="none"/>
            </w:rPr>
            <w:t>第二章  竞争性谈判须知</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_Toc23073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07D392A3">
          <w:pPr>
            <w:pStyle w:val="41"/>
            <w:tabs>
              <w:tab w:val="right" w:leader="dot" w:pos="9072"/>
            </w:tabs>
            <w:spacing w:line="480" w:lineRule="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"_Toc2217" </w:instrText>
          </w:r>
          <w:r>
            <w:rPr>
              <w:color w:val="auto"/>
              <w:highlight w:val="none"/>
            </w:rPr>
            <w:fldChar w:fldCharType="separate"/>
          </w:r>
          <w:r>
            <w:rPr>
              <w:rFonts w:hint="eastAsia" w:ascii="宋体" w:hAnsi="宋体" w:cs="宋体"/>
              <w:color w:val="auto"/>
              <w:sz w:val="24"/>
              <w:szCs w:val="24"/>
              <w:highlight w:val="none"/>
            </w:rPr>
            <w:t>第三章  采购内容及要求</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_Toc2217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33</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1CFE7C57">
          <w:pPr>
            <w:pStyle w:val="41"/>
            <w:tabs>
              <w:tab w:val="right" w:leader="dot" w:pos="9072"/>
            </w:tabs>
            <w:spacing w:line="480" w:lineRule="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\l "_Toc19223" </w:instrText>
          </w:r>
          <w:r>
            <w:rPr>
              <w:color w:val="auto"/>
              <w:highlight w:val="none"/>
            </w:rPr>
            <w:fldChar w:fldCharType="separate"/>
          </w:r>
          <w:r>
            <w:rPr>
              <w:rFonts w:hint="eastAsia" w:ascii="宋体" w:hAnsi="宋体" w:cs="宋体"/>
              <w:color w:val="auto"/>
              <w:sz w:val="24"/>
              <w:szCs w:val="24"/>
              <w:highlight w:val="none"/>
            </w:rPr>
            <w:t>第四章  合同主要条款及格式</w:t>
          </w:r>
          <w:r>
            <w:rPr>
              <w:rFonts w:hint="eastAsia" w:ascii="宋体" w:hAnsi="宋体" w:cs="宋体"/>
              <w:color w:val="auto"/>
              <w:sz w:val="24"/>
              <w:szCs w:val="24"/>
              <w:highlight w:val="none"/>
            </w:rPr>
            <w:tab/>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PAGEREF _Toc19223 \h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50</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fldChar w:fldCharType="end"/>
          </w:r>
        </w:p>
        <w:p w14:paraId="1590F916">
          <w:pPr>
            <w:pStyle w:val="41"/>
            <w:tabs>
              <w:tab w:val="right" w:leader="dot" w:pos="9072"/>
            </w:tabs>
            <w:spacing w:line="480" w:lineRule="auto"/>
            <w:rPr>
              <w:rFonts w:hint="eastAsia" w:ascii="宋体" w:hAnsi="宋体" w:eastAsia="宋体" w:cs="宋体"/>
              <w:color w:val="auto"/>
              <w:highlight w:val="none"/>
              <w:lang w:val="en-US" w:eastAsia="zh-CN"/>
            </w:rPr>
          </w:pPr>
          <w:r>
            <w:rPr>
              <w:color w:val="auto"/>
              <w:highlight w:val="none"/>
            </w:rPr>
            <w:fldChar w:fldCharType="begin"/>
          </w:r>
          <w:r>
            <w:rPr>
              <w:color w:val="auto"/>
              <w:highlight w:val="none"/>
            </w:rPr>
            <w:instrText xml:space="preserve"> HYPERLINK \l "_Toc2289" </w:instrText>
          </w:r>
          <w:r>
            <w:rPr>
              <w:color w:val="auto"/>
              <w:highlight w:val="none"/>
            </w:rPr>
            <w:fldChar w:fldCharType="separate"/>
          </w:r>
          <w:r>
            <w:rPr>
              <w:rFonts w:hint="eastAsia" w:ascii="宋体" w:hAnsi="宋体" w:cs="宋体"/>
              <w:color w:val="auto"/>
              <w:sz w:val="24"/>
              <w:szCs w:val="24"/>
              <w:highlight w:val="none"/>
            </w:rPr>
            <w:t>第五章  首次响应文件格式</w:t>
          </w:r>
          <w:r>
            <w:rPr>
              <w:rFonts w:hint="eastAsia" w:ascii="宋体" w:hAnsi="宋体" w:cs="宋体"/>
              <w:color w:val="auto"/>
              <w:sz w:val="24"/>
              <w:szCs w:val="24"/>
              <w:highlight w:val="none"/>
            </w:rPr>
            <w:tab/>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6</w:t>
          </w:r>
        </w:p>
        <w:p w14:paraId="7B369D67">
          <w:pPr>
            <w:rPr>
              <w:rFonts w:ascii="宋体" w:hAnsi="宋体" w:eastAsia="宋体" w:cs="宋体"/>
              <w:color w:val="0000FF"/>
              <w:highlight w:val="none"/>
            </w:rPr>
          </w:pPr>
          <w:r>
            <w:rPr>
              <w:rFonts w:hint="eastAsia" w:ascii="宋体" w:hAnsi="宋体" w:eastAsia="宋体" w:cs="宋体"/>
              <w:color w:val="auto"/>
              <w:highlight w:val="none"/>
            </w:rPr>
            <w:fldChar w:fldCharType="end"/>
          </w:r>
        </w:p>
      </w:sdtContent>
    </w:sdt>
    <w:p w14:paraId="726C65F3">
      <w:pPr>
        <w:rPr>
          <w:rFonts w:ascii="宋体" w:hAnsi="宋体" w:eastAsia="宋体" w:cs="宋体"/>
          <w:color w:val="0000FF"/>
          <w:highlight w:val="none"/>
        </w:rPr>
        <w:sectPr>
          <w:footerReference r:id="rId3" w:type="default"/>
          <w:pgSz w:w="11906" w:h="16838"/>
          <w:pgMar w:top="1417" w:right="1417" w:bottom="1417" w:left="1417" w:header="851" w:footer="992" w:gutter="0"/>
          <w:pgNumType w:start="1"/>
          <w:cols w:space="0" w:num="1"/>
          <w:rtlGutter w:val="0"/>
          <w:docGrid w:type="lines" w:linePitch="312" w:charSpace="0"/>
        </w:sectPr>
      </w:pPr>
    </w:p>
    <w:p w14:paraId="5D5BF96A">
      <w:pPr>
        <w:pStyle w:val="31"/>
        <w:widowControl w:val="0"/>
        <w:jc w:val="center"/>
        <w:outlineLvl w:val="0"/>
        <w:rPr>
          <w:rFonts w:hint="default" w:ascii="宋体" w:hAnsi="宋体" w:eastAsia="宋体" w:cs="宋体"/>
          <w:color w:val="auto"/>
          <w:highlight w:val="none"/>
        </w:rPr>
      </w:pPr>
      <w:bookmarkStart w:id="4" w:name="_Toc12100"/>
      <w:r>
        <w:rPr>
          <w:rFonts w:ascii="宋体" w:hAnsi="宋体" w:eastAsia="宋体" w:cs="宋体"/>
          <w:b/>
          <w:color w:val="auto"/>
          <w:sz w:val="36"/>
          <w:highlight w:val="none"/>
        </w:rPr>
        <w:t>第一章   采购公告/采购邀请书</w:t>
      </w:r>
      <w:bookmarkEnd w:id="4"/>
    </w:p>
    <w:p w14:paraId="11321F20">
      <w:pPr>
        <w:pStyle w:val="31"/>
        <w:widowControl w:val="0"/>
        <w:jc w:val="center"/>
        <w:rPr>
          <w:rFonts w:hint="default" w:ascii="宋体" w:hAnsi="宋体" w:eastAsia="宋体" w:cs="宋体"/>
          <w:b/>
          <w:color w:val="auto"/>
          <w:sz w:val="28"/>
          <w:highlight w:val="none"/>
        </w:rPr>
      </w:pPr>
      <w:r>
        <w:rPr>
          <w:rFonts w:ascii="宋体" w:hAnsi="宋体" w:eastAsia="宋体" w:cs="宋体"/>
          <w:b/>
          <w:color w:val="auto"/>
          <w:sz w:val="28"/>
          <w:highlight w:val="none"/>
        </w:rPr>
        <w:t>竞争性谈判采购公告</w:t>
      </w:r>
    </w:p>
    <w:p w14:paraId="2781149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福建省建新医院已根据政府采购相关法律法规</w:t>
      </w:r>
      <w:r>
        <w:rPr>
          <w:rFonts w:hint="eastAsia" w:asciiTheme="minorEastAsia" w:hAnsiTheme="minorEastAsia" w:eastAsiaTheme="minorEastAsia" w:cstheme="minorEastAsia"/>
          <w:color w:val="auto"/>
          <w:sz w:val="24"/>
          <w:szCs w:val="24"/>
          <w:highlight w:val="none"/>
        </w:rPr>
        <w:t>，经相应程序确定采用 竞争性谈判 方式组织</w:t>
      </w:r>
      <w:r>
        <w:rPr>
          <w:rFonts w:hint="eastAsia" w:asciiTheme="minorEastAsia" w:hAnsiTheme="minorEastAsia" w:eastAsiaTheme="minorEastAsia" w:cstheme="minorEastAsia"/>
          <w:color w:val="auto"/>
          <w:sz w:val="24"/>
          <w:szCs w:val="24"/>
          <w:highlight w:val="none"/>
          <w:lang w:eastAsia="zh-CN"/>
        </w:rPr>
        <w:t>福建省病犯监狱（福建省建新医院）一标段智能化系统采购项目配套测试测评服务项目</w:t>
      </w:r>
      <w:r>
        <w:rPr>
          <w:rFonts w:hint="eastAsia" w:asciiTheme="minorEastAsia" w:hAnsiTheme="minorEastAsia" w:eastAsiaTheme="minorEastAsia" w:cstheme="minorEastAsia"/>
          <w:color w:val="auto"/>
          <w:sz w:val="24"/>
          <w:szCs w:val="24"/>
          <w:highlight w:val="none"/>
        </w:rPr>
        <w:t>（以下简称：“本项目”）的采购活动，</w:t>
      </w:r>
      <w:r>
        <w:rPr>
          <w:rFonts w:hint="eastAsia" w:asciiTheme="minorEastAsia" w:hAnsiTheme="minorEastAsia" w:eastAsiaTheme="minorEastAsia" w:cstheme="minorEastAsia"/>
          <w:color w:val="auto"/>
          <w:sz w:val="24"/>
          <w:szCs w:val="24"/>
          <w:highlight w:val="none"/>
          <w:lang w:eastAsia="zh-CN"/>
        </w:rPr>
        <w:t>现欢迎</w:t>
      </w:r>
      <w:r>
        <w:rPr>
          <w:rFonts w:hint="eastAsia" w:asciiTheme="minorEastAsia" w:hAnsiTheme="minorEastAsia" w:eastAsiaTheme="minorEastAsia" w:cstheme="minorEastAsia"/>
          <w:color w:val="auto"/>
          <w:sz w:val="24"/>
          <w:szCs w:val="24"/>
          <w:highlight w:val="none"/>
        </w:rPr>
        <w:t>国内合格的供应商前来参加。本项目由采购人委托</w:t>
      </w:r>
      <w:r>
        <w:rPr>
          <w:rFonts w:hint="eastAsia" w:asciiTheme="minorEastAsia" w:hAnsiTheme="minorEastAsia" w:eastAsiaTheme="minorEastAsia" w:cstheme="minorEastAsia"/>
          <w:color w:val="auto"/>
          <w:sz w:val="24"/>
          <w:szCs w:val="24"/>
          <w:highlight w:val="none"/>
          <w:lang w:eastAsia="zh-CN"/>
        </w:rPr>
        <w:t>福建省卓诚招投标代理有限责任公司</w:t>
      </w:r>
      <w:r>
        <w:rPr>
          <w:rFonts w:hint="eastAsia" w:asciiTheme="minorEastAsia" w:hAnsiTheme="minorEastAsia" w:eastAsiaTheme="minorEastAsia" w:cstheme="minorEastAsia"/>
          <w:color w:val="auto"/>
          <w:sz w:val="24"/>
          <w:szCs w:val="24"/>
          <w:highlight w:val="none"/>
        </w:rPr>
        <w:t>开展竞争性谈判活动。</w:t>
      </w:r>
    </w:p>
    <w:p w14:paraId="13AB6232">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1.项目名称：</w:t>
      </w:r>
      <w:r>
        <w:rPr>
          <w:rFonts w:hint="eastAsia" w:asciiTheme="minorEastAsia" w:hAnsiTheme="minorEastAsia" w:eastAsiaTheme="minorEastAsia" w:cstheme="minorEastAsia"/>
          <w:b/>
          <w:color w:val="auto"/>
          <w:sz w:val="24"/>
          <w:szCs w:val="24"/>
          <w:highlight w:val="none"/>
          <w:lang w:eastAsia="zh-CN"/>
        </w:rPr>
        <w:t>福建省病犯监狱（福建省建新医院）一标段智能化系统采购项目配套测试测评服务项目</w:t>
      </w:r>
    </w:p>
    <w:p w14:paraId="27C65F20">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2</w:t>
      </w:r>
      <w:r>
        <w:rPr>
          <w:rFonts w:hint="eastAsia" w:asciiTheme="minorEastAsia" w:hAnsiTheme="minorEastAsia" w:eastAsiaTheme="minorEastAsia" w:cstheme="minorEastAsia"/>
          <w:b/>
          <w:color w:val="auto"/>
          <w:sz w:val="24"/>
          <w:szCs w:val="24"/>
          <w:highlight w:val="none"/>
        </w:rPr>
        <w:t>.项目编号：</w:t>
      </w:r>
      <w:r>
        <w:rPr>
          <w:rFonts w:hint="eastAsia" w:asciiTheme="minorEastAsia" w:hAnsiTheme="minorEastAsia" w:eastAsiaTheme="minorEastAsia" w:cstheme="minorEastAsia"/>
          <w:b/>
          <w:color w:val="auto"/>
          <w:sz w:val="24"/>
          <w:szCs w:val="24"/>
          <w:highlight w:val="none"/>
          <w:lang w:eastAsia="zh-CN"/>
        </w:rPr>
        <w:t>FJZC-TP-2026-030</w:t>
      </w:r>
    </w:p>
    <w:p w14:paraId="1CB24BA8">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3</w:t>
      </w:r>
      <w:r>
        <w:rPr>
          <w:rFonts w:hint="eastAsia" w:asciiTheme="minorEastAsia" w:hAnsiTheme="minorEastAsia" w:eastAsiaTheme="minorEastAsia" w:cstheme="minorEastAsia"/>
          <w:b/>
          <w:color w:val="auto"/>
          <w:sz w:val="24"/>
          <w:szCs w:val="24"/>
          <w:highlight w:val="none"/>
        </w:rPr>
        <w:t>.采购内容及要求：</w:t>
      </w:r>
    </w:p>
    <w:p w14:paraId="6EDB43E2">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p w14:paraId="0B91C476">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采购包预算金额（元）</w:t>
      </w:r>
      <w:r>
        <w:rPr>
          <w:rFonts w:hint="eastAsia" w:asciiTheme="minorEastAsia" w:hAnsiTheme="minorEastAsia" w:eastAsiaTheme="minorEastAsia" w:cstheme="minorEastAsia"/>
          <w:color w:val="auto"/>
          <w:sz w:val="24"/>
          <w:szCs w:val="24"/>
          <w:highlight w:val="none"/>
          <w:lang w:eastAsia="zh-CN"/>
        </w:rPr>
        <w:t>：880000</w:t>
      </w:r>
      <w:r>
        <w:rPr>
          <w:rFonts w:hint="eastAsia" w:asciiTheme="minorEastAsia" w:hAnsiTheme="minorEastAsia" w:eastAsiaTheme="minorEastAsia" w:cstheme="minorEastAsia"/>
          <w:color w:val="auto"/>
          <w:sz w:val="24"/>
          <w:szCs w:val="24"/>
          <w:highlight w:val="none"/>
        </w:rPr>
        <w:t>.00</w:t>
      </w:r>
    </w:p>
    <w:p w14:paraId="0BEA0473">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采购包最高限价（元）</w:t>
      </w:r>
      <w:r>
        <w:rPr>
          <w:rFonts w:hint="eastAsia" w:asciiTheme="minorEastAsia" w:hAnsiTheme="minorEastAsia" w:eastAsiaTheme="minorEastAsia" w:cstheme="minorEastAsia"/>
          <w:color w:val="auto"/>
          <w:sz w:val="24"/>
          <w:szCs w:val="24"/>
          <w:highlight w:val="none"/>
          <w:lang w:eastAsia="zh-CN"/>
        </w:rPr>
        <w:t>：880000</w:t>
      </w:r>
      <w:r>
        <w:rPr>
          <w:rFonts w:hint="eastAsia" w:asciiTheme="minorEastAsia" w:hAnsiTheme="minorEastAsia" w:eastAsiaTheme="minorEastAsia" w:cstheme="minorEastAsia"/>
          <w:color w:val="auto"/>
          <w:sz w:val="24"/>
          <w:szCs w:val="24"/>
          <w:highlight w:val="none"/>
        </w:rPr>
        <w:t>.00</w:t>
      </w:r>
    </w:p>
    <w:p w14:paraId="00965A5B">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采购包保证金金额（元）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8800</w:t>
      </w:r>
      <w:r>
        <w:rPr>
          <w:rFonts w:hint="eastAsia" w:asciiTheme="minorEastAsia" w:hAnsiTheme="minorEastAsia" w:eastAsiaTheme="minorEastAsia" w:cstheme="minorEastAsia"/>
          <w:color w:val="auto"/>
          <w:sz w:val="24"/>
          <w:szCs w:val="24"/>
          <w:highlight w:val="none"/>
        </w:rPr>
        <w:t>.00</w:t>
      </w:r>
    </w:p>
    <w:p w14:paraId="6701FF94">
      <w:pPr>
        <w:pStyle w:val="31"/>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lang w:eastAsia="zh-CN"/>
        </w:rPr>
        <w:t>金额单位：人民币元</w:t>
      </w:r>
    </w:p>
    <w:tbl>
      <w:tblPr>
        <w:tblStyle w:val="19"/>
        <w:tblW w:w="928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37"/>
        <w:gridCol w:w="2665"/>
        <w:gridCol w:w="723"/>
        <w:gridCol w:w="1587"/>
        <w:gridCol w:w="903"/>
        <w:gridCol w:w="1474"/>
        <w:gridCol w:w="1191"/>
      </w:tblGrid>
      <w:tr w14:paraId="596EA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37" w:type="dxa"/>
            <w:vAlign w:val="center"/>
          </w:tcPr>
          <w:p w14:paraId="081F01FD">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665" w:type="dxa"/>
            <w:vAlign w:val="center"/>
          </w:tcPr>
          <w:p w14:paraId="10F5787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w:t>
            </w:r>
          </w:p>
        </w:tc>
        <w:tc>
          <w:tcPr>
            <w:tcW w:w="723" w:type="dxa"/>
            <w:vAlign w:val="center"/>
          </w:tcPr>
          <w:p w14:paraId="3083751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1587" w:type="dxa"/>
            <w:vAlign w:val="center"/>
          </w:tcPr>
          <w:p w14:paraId="19BC2FC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标的金额（元）</w:t>
            </w:r>
          </w:p>
        </w:tc>
        <w:tc>
          <w:tcPr>
            <w:tcW w:w="903" w:type="dxa"/>
            <w:vAlign w:val="center"/>
          </w:tcPr>
          <w:p w14:paraId="3A032D18">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计量单位</w:t>
            </w:r>
          </w:p>
        </w:tc>
        <w:tc>
          <w:tcPr>
            <w:tcW w:w="1474" w:type="dxa"/>
            <w:vAlign w:val="center"/>
          </w:tcPr>
          <w:p w14:paraId="47CF9EE5">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所属行业</w:t>
            </w:r>
          </w:p>
        </w:tc>
        <w:tc>
          <w:tcPr>
            <w:tcW w:w="1191" w:type="dxa"/>
            <w:tcBorders>
              <w:right w:val="single" w:color="auto" w:sz="4" w:space="0"/>
            </w:tcBorders>
            <w:vAlign w:val="center"/>
          </w:tcPr>
          <w:p w14:paraId="387B6A12">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是否允许进口产品</w:t>
            </w:r>
          </w:p>
        </w:tc>
      </w:tr>
      <w:tr w14:paraId="069E68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37" w:type="dxa"/>
            <w:vAlign w:val="center"/>
          </w:tcPr>
          <w:p w14:paraId="3FFB4C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w:t>
            </w:r>
          </w:p>
        </w:tc>
        <w:tc>
          <w:tcPr>
            <w:tcW w:w="2665" w:type="dxa"/>
            <w:vAlign w:val="center"/>
          </w:tcPr>
          <w:p w14:paraId="0A158C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一标段智能化系统采购项目配套测试测评服务</w:t>
            </w:r>
          </w:p>
        </w:tc>
        <w:tc>
          <w:tcPr>
            <w:tcW w:w="723" w:type="dxa"/>
            <w:vAlign w:val="center"/>
          </w:tcPr>
          <w:p w14:paraId="3B7BB7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1</w:t>
            </w:r>
          </w:p>
        </w:tc>
        <w:tc>
          <w:tcPr>
            <w:tcW w:w="1587" w:type="dxa"/>
            <w:vAlign w:val="center"/>
          </w:tcPr>
          <w:p w14:paraId="1B53AD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lang w:eastAsia="zh-CN"/>
              </w:rPr>
              <w:t>880000</w:t>
            </w:r>
            <w:r>
              <w:rPr>
                <w:rFonts w:hint="eastAsia" w:asciiTheme="minorEastAsia" w:hAnsiTheme="minorEastAsia" w:eastAsiaTheme="minorEastAsia" w:cstheme="minorEastAsia"/>
                <w:b w:val="0"/>
                <w:bCs w:val="0"/>
                <w:color w:val="auto"/>
                <w:sz w:val="24"/>
                <w:szCs w:val="24"/>
                <w:highlight w:val="none"/>
              </w:rPr>
              <w:t>.00</w:t>
            </w:r>
          </w:p>
        </w:tc>
        <w:tc>
          <w:tcPr>
            <w:tcW w:w="903" w:type="dxa"/>
            <w:vAlign w:val="center"/>
          </w:tcPr>
          <w:p w14:paraId="48F571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项</w:t>
            </w:r>
          </w:p>
        </w:tc>
        <w:tc>
          <w:tcPr>
            <w:tcW w:w="1474" w:type="dxa"/>
            <w:vAlign w:val="center"/>
          </w:tcPr>
          <w:p w14:paraId="4ACD1D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软件与信息技术服务业</w:t>
            </w:r>
          </w:p>
        </w:tc>
        <w:tc>
          <w:tcPr>
            <w:tcW w:w="1191" w:type="dxa"/>
            <w:tcBorders>
              <w:right w:val="single" w:color="auto" w:sz="4" w:space="0"/>
            </w:tcBorders>
            <w:vAlign w:val="center"/>
          </w:tcPr>
          <w:p w14:paraId="1037C7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rPr>
              <w:t>否</w:t>
            </w:r>
          </w:p>
        </w:tc>
      </w:tr>
    </w:tbl>
    <w:p w14:paraId="16B1868D">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4.采购项目需要落实的政府采购政策：</w:t>
      </w:r>
    </w:p>
    <w:p w14:paraId="4FA13470">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进口产品：</w:t>
      </w:r>
      <w:r>
        <w:rPr>
          <w:rFonts w:hint="eastAsia" w:asciiTheme="minorEastAsia" w:hAnsiTheme="minorEastAsia" w:eastAsiaTheme="minorEastAsia" w:cstheme="minorEastAsia"/>
          <w:color w:val="auto"/>
          <w:sz w:val="24"/>
          <w:szCs w:val="24"/>
          <w:highlight w:val="none"/>
          <w:lang w:eastAsia="zh-CN"/>
        </w:rPr>
        <w:t>不适用</w:t>
      </w:r>
      <w:r>
        <w:rPr>
          <w:rFonts w:hint="eastAsia" w:asciiTheme="minorEastAsia" w:hAnsiTheme="minorEastAsia" w:eastAsiaTheme="minorEastAsia" w:cstheme="minorEastAsia"/>
          <w:color w:val="auto"/>
          <w:sz w:val="24"/>
          <w:szCs w:val="24"/>
          <w:highlight w:val="none"/>
          <w:lang w:val="en-US" w:eastAsia="zh-CN"/>
        </w:rPr>
        <w:t>于本项目</w:t>
      </w:r>
      <w:r>
        <w:rPr>
          <w:rFonts w:hint="eastAsia" w:asciiTheme="minorEastAsia" w:hAnsiTheme="minorEastAsia" w:eastAsiaTheme="minorEastAsia" w:cstheme="minorEastAsia"/>
          <w:color w:val="auto"/>
          <w:sz w:val="24"/>
          <w:szCs w:val="24"/>
          <w:highlight w:val="none"/>
          <w:lang w:eastAsia="zh-CN"/>
        </w:rPr>
        <w:t>；</w:t>
      </w:r>
    </w:p>
    <w:p w14:paraId="68DFDAA2">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节能产品：</w:t>
      </w:r>
      <w:r>
        <w:rPr>
          <w:rFonts w:hint="eastAsia" w:asciiTheme="minorEastAsia" w:hAnsiTheme="minorEastAsia" w:eastAsiaTheme="minorEastAsia" w:cstheme="minorEastAsia"/>
          <w:color w:val="auto"/>
          <w:sz w:val="24"/>
          <w:szCs w:val="24"/>
          <w:highlight w:val="none"/>
          <w:lang w:eastAsia="zh-CN"/>
        </w:rPr>
        <w:t>不适用</w:t>
      </w:r>
      <w:r>
        <w:rPr>
          <w:rFonts w:hint="eastAsia" w:asciiTheme="minorEastAsia" w:hAnsiTheme="minorEastAsia" w:eastAsiaTheme="minorEastAsia" w:cstheme="minorEastAsia"/>
          <w:color w:val="auto"/>
          <w:sz w:val="24"/>
          <w:szCs w:val="24"/>
          <w:highlight w:val="none"/>
          <w:lang w:val="en-US" w:eastAsia="zh-CN"/>
        </w:rPr>
        <w:t>于本项目</w:t>
      </w:r>
      <w:r>
        <w:rPr>
          <w:rFonts w:hint="eastAsia" w:asciiTheme="minorEastAsia" w:hAnsiTheme="minorEastAsia" w:eastAsiaTheme="minorEastAsia" w:cstheme="minorEastAsia"/>
          <w:color w:val="auto"/>
          <w:sz w:val="24"/>
          <w:szCs w:val="24"/>
          <w:highlight w:val="none"/>
        </w:rPr>
        <w:t>；</w:t>
      </w:r>
    </w:p>
    <w:p w14:paraId="4E032159">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环境标志产品：</w:t>
      </w:r>
      <w:r>
        <w:rPr>
          <w:rFonts w:hint="eastAsia" w:asciiTheme="minorEastAsia" w:hAnsiTheme="minorEastAsia" w:eastAsiaTheme="minorEastAsia" w:cstheme="minorEastAsia"/>
          <w:color w:val="auto"/>
          <w:sz w:val="24"/>
          <w:szCs w:val="24"/>
          <w:highlight w:val="none"/>
          <w:lang w:eastAsia="zh-CN"/>
        </w:rPr>
        <w:t>不适用</w:t>
      </w:r>
      <w:r>
        <w:rPr>
          <w:rFonts w:hint="eastAsia" w:asciiTheme="minorEastAsia" w:hAnsiTheme="minorEastAsia" w:eastAsiaTheme="minorEastAsia" w:cstheme="minorEastAsia"/>
          <w:color w:val="auto"/>
          <w:sz w:val="24"/>
          <w:szCs w:val="24"/>
          <w:highlight w:val="none"/>
          <w:lang w:val="en-US" w:eastAsia="zh-CN"/>
        </w:rPr>
        <w:t>于本项目</w:t>
      </w:r>
      <w:r>
        <w:rPr>
          <w:rFonts w:hint="eastAsia" w:asciiTheme="minorEastAsia" w:hAnsiTheme="minorEastAsia" w:eastAsiaTheme="minorEastAsia" w:cstheme="minorEastAsia"/>
          <w:color w:val="auto"/>
          <w:sz w:val="24"/>
          <w:szCs w:val="24"/>
          <w:highlight w:val="none"/>
        </w:rPr>
        <w:t>；</w:t>
      </w:r>
    </w:p>
    <w:p w14:paraId="0B8F0E1D">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促进中小企业发展的相关政策：</w:t>
      </w:r>
    </w:p>
    <w:p w14:paraId="126F186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采购包1：专门采购包预留</w:t>
      </w:r>
    </w:p>
    <w:p w14:paraId="4B85C6E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面向的企业规模：中小企业</w:t>
      </w:r>
    </w:p>
    <w:p w14:paraId="73EBA03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预留形式：专门采购包预留</w:t>
      </w:r>
    </w:p>
    <w:p w14:paraId="5AE99883">
      <w:pPr>
        <w:pStyle w:val="31"/>
        <w:keepNext w:val="0"/>
        <w:keepLines w:val="0"/>
        <w:pageBreakBefore w:val="0"/>
        <w:widowControl w:val="0"/>
        <w:kinsoku/>
        <w:wordWrap/>
        <w:overflowPunct/>
        <w:topLinePunct w:val="0"/>
        <w:autoSpaceDE/>
        <w:autoSpaceDN/>
        <w:bidi w:val="0"/>
        <w:adjustRightInd/>
        <w:snapToGrid/>
        <w:spacing w:line="440" w:lineRule="exact"/>
        <w:ind w:firstLine="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预留比例：100%</w:t>
      </w:r>
    </w:p>
    <w:p w14:paraId="5DFD5531">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5.供应商的资格要求</w:t>
      </w:r>
    </w:p>
    <w:p w14:paraId="43D4B75D">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.1法定条件：符合《中华人民共和国政府采购法》第二十二条规定的条件。</w:t>
      </w:r>
    </w:p>
    <w:p w14:paraId="5583C9F3">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.2特定条件：</w:t>
      </w:r>
    </w:p>
    <w:p w14:paraId="63B51A5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tbl>
      <w:tblPr>
        <w:tblStyle w:val="20"/>
        <w:tblW w:w="9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8334"/>
      </w:tblGrid>
      <w:tr w14:paraId="3324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91" w:type="dxa"/>
            <w:vAlign w:val="center"/>
          </w:tcPr>
          <w:p w14:paraId="7C7096A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资格审查要求概况</w:t>
            </w:r>
          </w:p>
        </w:tc>
        <w:tc>
          <w:tcPr>
            <w:tcW w:w="8334" w:type="dxa"/>
            <w:vAlign w:val="center"/>
          </w:tcPr>
          <w:p w14:paraId="2BB077C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79A7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91" w:type="dxa"/>
            <w:vAlign w:val="center"/>
          </w:tcPr>
          <w:p w14:paraId="5289AE11">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sz w:val="24"/>
                <w:szCs w:val="24"/>
                <w:highlight w:val="none"/>
              </w:rPr>
              <w:t>资格承诺函</w:t>
            </w:r>
          </w:p>
        </w:tc>
        <w:tc>
          <w:tcPr>
            <w:tcW w:w="8334" w:type="dxa"/>
            <w:vAlign w:val="top"/>
          </w:tcPr>
          <w:p w14:paraId="3C6F45F0">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sz w:val="24"/>
                <w:szCs w:val="24"/>
                <w:highlight w:val="none"/>
              </w:rPr>
              <w:t>根据《福建省财政厅关于印发推行政府采购供应商资格承诺制指导意见的通知》闽财购〔2024〕6号的规定，依法在福建省参与政府采购活动的供应商，提供《政府采购供应商资格承诺函》（以下简称《承诺函》，格式详见第五章首次响应文件格式）的，在响应文件中可不提供《中华人民共和国政府采购法实施条例》第十七条第一款规定的资格条件证明材料【资格条件证明材料指：营业执照等证明文件、财务状况报告（财务报告、或资信证明）、依法缴纳税收证明材料、依法缴纳社会保障资金证明材料、具备履行合同所必需设备和专业技术能力的声明函、参加采购活动前三年内在经营活动中没有重大违法记录的声明】。 说明：①供应商可自行选择是否提供本承诺函，若不提供本承诺函的，应按竞争性</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文件要求提供相应的证明材料。②供应商应对其承诺内容的真实性、合法性、有效性负责。③供应商应当遵循诚实守信的原则，不得作出虚假承诺，承诺不实的，属于提供虚假材料谋取中标、成交，依法追究相关的法律责任。</w:t>
            </w:r>
          </w:p>
        </w:tc>
      </w:tr>
      <w:tr w14:paraId="724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91" w:type="dxa"/>
            <w:shd w:val="clear" w:color="auto" w:fill="auto"/>
            <w:vAlign w:val="center"/>
          </w:tcPr>
          <w:p w14:paraId="466F082D">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rPr>
              <w:t>本采购包属于专门面向中小企业采购。</w:t>
            </w:r>
          </w:p>
        </w:tc>
        <w:tc>
          <w:tcPr>
            <w:tcW w:w="8334" w:type="dxa"/>
            <w:shd w:val="clear" w:color="auto" w:fill="auto"/>
            <w:vAlign w:val="top"/>
          </w:tcPr>
          <w:p w14:paraId="603E9F9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本</w:t>
            </w:r>
            <w:r>
              <w:rPr>
                <w:rFonts w:hint="eastAsia" w:asciiTheme="minorEastAsia" w:hAnsiTheme="minorEastAsia" w:eastAsiaTheme="minorEastAsia" w:cstheme="minorEastAsia"/>
                <w:color w:val="auto"/>
                <w:sz w:val="24"/>
                <w:szCs w:val="24"/>
                <w:highlight w:val="none"/>
                <w:lang w:val="en-US" w:eastAsia="zh-CN"/>
              </w:rPr>
              <w:t>项目</w:t>
            </w:r>
            <w:r>
              <w:rPr>
                <w:rFonts w:hint="eastAsia" w:asciiTheme="minorEastAsia" w:hAnsiTheme="minorEastAsia" w:eastAsiaTheme="minorEastAsia" w:cstheme="minorEastAsia"/>
                <w:color w:val="auto"/>
                <w:sz w:val="24"/>
                <w:szCs w:val="24"/>
                <w:highlight w:val="none"/>
              </w:rPr>
              <w:t>专门面向中、小、微企业采购，供应商应按以下要求提供相关证明材料：①依据财政部、工信部文件（财库〔2020〕46号）规定，供应商应认真对照《工业和信息化部、国家统计局、国家发展和改革委员会、财政部关于印发中小企业划型标准规定的通知》（工信部联企业〔2011〕300号）规定的划分标准，并按照《国家统计局关于印发&lt;统计上大中小微型企业划分办法(2017)&gt;的通知》（国统字〔2017〕213号）规定的中小企业划分标准准确划分企业类型，由供应商出具《中小企业声明函》（服务类）。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本采购包为服务类采购包，所属行业：</w:t>
            </w:r>
            <w:r>
              <w:rPr>
                <w:rFonts w:hint="eastAsia" w:asciiTheme="minorEastAsia" w:hAnsiTheme="minorEastAsia" w:eastAsiaTheme="minorEastAsia" w:cstheme="minorEastAsia"/>
                <w:b w:val="0"/>
                <w:bCs w:val="0"/>
                <w:color w:val="auto"/>
                <w:sz w:val="24"/>
                <w:szCs w:val="24"/>
                <w:highlight w:val="none"/>
              </w:rPr>
              <w:t>软件与信息技术服务业</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若为联合体投标，联合体各方须均为中小企业，均须提供相应的中小企业声明函。</w:t>
            </w:r>
          </w:p>
        </w:tc>
      </w:tr>
      <w:tr w14:paraId="2A3C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91" w:type="dxa"/>
            <w:shd w:val="clear" w:color="auto" w:fill="auto"/>
            <w:vAlign w:val="center"/>
          </w:tcPr>
          <w:p w14:paraId="5BC86F5E">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sz w:val="24"/>
                <w:szCs w:val="24"/>
                <w:highlight w:val="none"/>
                <w:lang w:eastAsia="zh-CN"/>
              </w:rPr>
              <w:t>其他资格证明材料</w:t>
            </w:r>
            <w:r>
              <w:rPr>
                <w:rFonts w:hint="eastAsia" w:asciiTheme="minorEastAsia" w:hAnsiTheme="minorEastAsia" w:eastAsiaTheme="minorEastAsia" w:cstheme="minorEastAsia"/>
                <w:b w:val="0"/>
                <w:bCs w:val="0"/>
                <w:color w:val="auto"/>
                <w:sz w:val="24"/>
                <w:szCs w:val="24"/>
                <w:highlight w:val="none"/>
                <w:lang w:val="en-US" w:eastAsia="zh-CN"/>
              </w:rPr>
              <w:t>1</w:t>
            </w:r>
          </w:p>
        </w:tc>
        <w:tc>
          <w:tcPr>
            <w:tcW w:w="8334" w:type="dxa"/>
            <w:shd w:val="clear" w:color="auto" w:fill="auto"/>
            <w:vAlign w:val="center"/>
          </w:tcPr>
          <w:p w14:paraId="486C7EB3">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rPr>
              <w:t>联合体资质应覆盖项目安全测评、密码测评</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项内容，联合体牵头方</w:t>
            </w:r>
            <w:r>
              <w:rPr>
                <w:rFonts w:hint="eastAsia" w:asciiTheme="minorEastAsia" w:hAnsiTheme="minorEastAsia" w:eastAsiaTheme="minorEastAsia" w:cstheme="minorEastAsia"/>
                <w:b w:val="0"/>
                <w:bCs w:val="0"/>
                <w:color w:val="auto"/>
                <w:sz w:val="24"/>
                <w:szCs w:val="24"/>
                <w:highlight w:val="none"/>
                <w:lang w:val="en-US" w:eastAsia="zh-CN"/>
              </w:rPr>
              <w:t>须</w:t>
            </w:r>
            <w:r>
              <w:rPr>
                <w:rFonts w:hint="eastAsia" w:asciiTheme="minorEastAsia" w:hAnsiTheme="minorEastAsia" w:eastAsiaTheme="minorEastAsia" w:cstheme="minorEastAsia"/>
                <w:b w:val="0"/>
                <w:bCs w:val="0"/>
                <w:color w:val="auto"/>
                <w:sz w:val="24"/>
                <w:szCs w:val="24"/>
                <w:highlight w:val="none"/>
              </w:rPr>
              <w:t>具备</w:t>
            </w:r>
            <w:r>
              <w:rPr>
                <w:rFonts w:hint="eastAsia" w:asciiTheme="minorEastAsia" w:hAnsiTheme="minorEastAsia" w:eastAsiaTheme="minorEastAsia" w:cstheme="minorEastAsia"/>
                <w:b w:val="0"/>
                <w:bCs w:val="0"/>
                <w:color w:val="auto"/>
                <w:sz w:val="24"/>
                <w:szCs w:val="24"/>
                <w:highlight w:val="none"/>
                <w:lang w:val="en-US" w:eastAsia="zh-CN"/>
              </w:rPr>
              <w:t>其中至少任意一项</w:t>
            </w:r>
            <w:r>
              <w:rPr>
                <w:rFonts w:hint="eastAsia" w:asciiTheme="minorEastAsia" w:hAnsiTheme="minorEastAsia" w:eastAsiaTheme="minorEastAsia" w:cstheme="minorEastAsia"/>
                <w:b w:val="0"/>
                <w:bCs w:val="0"/>
                <w:color w:val="auto"/>
                <w:sz w:val="24"/>
                <w:szCs w:val="24"/>
                <w:highlight w:val="none"/>
              </w:rPr>
              <w:t>资质，联合体成员不得超过</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家</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含联合体牵头方</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，须提供相关证明材料复印件并加盖公章。其中：</w:t>
            </w:r>
          </w:p>
          <w:p w14:paraId="036BF543">
            <w:pPr>
              <w:keepNext w:val="0"/>
              <w:keepLines w:val="0"/>
              <w:pageBreakBefore w:val="0"/>
              <w:widowControl w:val="0"/>
              <w:numPr>
                <w:ilvl w:val="-1"/>
                <w:numId w:val="0"/>
              </w:numPr>
              <w:kinsoku/>
              <w:wordWrap/>
              <w:overflowPunct/>
              <w:topLinePunct w:val="0"/>
              <w:autoSpaceDE/>
              <w:autoSpaceDN/>
              <w:bidi w:val="0"/>
              <w:adjustRightInd/>
              <w:snapToGrid/>
              <w:spacing w:after="0" w:line="440" w:lineRule="exact"/>
              <w:ind w:left="0"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1.网络安全等级保护测评：具备</w:t>
            </w:r>
            <w:r>
              <w:rPr>
                <w:rFonts w:hint="eastAsia" w:asciiTheme="minorEastAsia" w:hAnsiTheme="minorEastAsia" w:eastAsiaTheme="minorEastAsia" w:cstheme="minorEastAsia"/>
                <w:b w:val="0"/>
                <w:bCs w:val="0"/>
                <w:color w:val="auto"/>
                <w:kern w:val="0"/>
                <w:sz w:val="24"/>
                <w:szCs w:val="24"/>
                <w:highlight w:val="none"/>
                <w:shd w:val="clear" w:color="auto" w:fill="FFFFFF"/>
              </w:rPr>
              <w:t>公安部第三研究所颁发</w:t>
            </w:r>
            <w:r>
              <w:rPr>
                <w:rFonts w:hint="eastAsia" w:asciiTheme="minorEastAsia" w:hAnsiTheme="minorEastAsia" w:eastAsiaTheme="minorEastAsia" w:cstheme="minorEastAsia"/>
                <w:b w:val="0"/>
                <w:bCs w:val="0"/>
                <w:color w:val="auto"/>
                <w:sz w:val="24"/>
                <w:szCs w:val="24"/>
                <w:highlight w:val="none"/>
                <w:lang w:val="en-US" w:eastAsia="zh-CN"/>
              </w:rPr>
              <w:t>的网络安全等级测评与检测评估机构服务认证证书</w:t>
            </w:r>
            <w:r>
              <w:rPr>
                <w:rFonts w:hint="eastAsia" w:asciiTheme="minorEastAsia" w:hAnsiTheme="minorEastAsia" w:eastAsiaTheme="minorEastAsia" w:cstheme="minorEastAsia"/>
                <w:color w:val="auto"/>
                <w:sz w:val="24"/>
                <w:szCs w:val="24"/>
                <w:highlight w:val="none"/>
                <w:lang w:val="en-US" w:eastAsia="zh-CN"/>
              </w:rPr>
              <w:t>复印件</w:t>
            </w:r>
            <w:r>
              <w:rPr>
                <w:rFonts w:hint="eastAsia" w:asciiTheme="minorEastAsia" w:hAnsiTheme="minorEastAsia" w:eastAsiaTheme="minorEastAsia" w:cstheme="minorEastAsia"/>
                <w:b w:val="0"/>
                <w:bCs w:val="0"/>
                <w:color w:val="auto"/>
                <w:sz w:val="24"/>
                <w:szCs w:val="24"/>
                <w:highlight w:val="none"/>
                <w:lang w:val="en-US" w:eastAsia="zh-CN"/>
              </w:rPr>
              <w:t>；</w:t>
            </w:r>
          </w:p>
          <w:p w14:paraId="5ED8D57F">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2.商用密码应用安全性评估：具备国家密码管理局颁发的商用密码应用安全性评估机构资质证书</w:t>
            </w:r>
            <w:r>
              <w:rPr>
                <w:rFonts w:hint="eastAsia" w:asciiTheme="minorEastAsia" w:hAnsiTheme="minorEastAsia" w:eastAsiaTheme="minorEastAsia" w:cstheme="minorEastAsia"/>
                <w:color w:val="auto"/>
                <w:sz w:val="24"/>
                <w:szCs w:val="24"/>
                <w:highlight w:val="none"/>
                <w:lang w:val="en-US" w:eastAsia="zh-CN"/>
              </w:rPr>
              <w:t>复印件</w:t>
            </w:r>
            <w:r>
              <w:rPr>
                <w:rFonts w:hint="eastAsia" w:asciiTheme="minorEastAsia" w:hAnsiTheme="minorEastAsia" w:eastAsiaTheme="minorEastAsia" w:cstheme="minorEastAsia"/>
                <w:b w:val="0"/>
                <w:bCs w:val="0"/>
                <w:color w:val="auto"/>
                <w:sz w:val="24"/>
                <w:szCs w:val="24"/>
                <w:highlight w:val="none"/>
                <w:lang w:val="en-US" w:eastAsia="zh-CN"/>
              </w:rPr>
              <w:t>。</w:t>
            </w:r>
          </w:p>
        </w:tc>
      </w:tr>
      <w:tr w14:paraId="55FC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91" w:type="dxa"/>
            <w:shd w:val="clear" w:color="auto" w:fill="auto"/>
            <w:vAlign w:val="center"/>
          </w:tcPr>
          <w:p w14:paraId="6129C946">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其他资格证明材料</w:t>
            </w:r>
            <w:r>
              <w:rPr>
                <w:rFonts w:hint="eastAsia" w:asciiTheme="minorEastAsia" w:hAnsiTheme="minorEastAsia" w:eastAsiaTheme="minorEastAsia" w:cstheme="minorEastAsia"/>
                <w:b w:val="0"/>
                <w:bCs w:val="0"/>
                <w:color w:val="auto"/>
                <w:sz w:val="24"/>
                <w:szCs w:val="24"/>
                <w:highlight w:val="none"/>
                <w:lang w:val="en-US" w:eastAsia="zh-CN"/>
              </w:rPr>
              <w:t>2</w:t>
            </w:r>
          </w:p>
        </w:tc>
        <w:tc>
          <w:tcPr>
            <w:tcW w:w="8334" w:type="dxa"/>
            <w:shd w:val="clear" w:color="auto" w:fill="auto"/>
            <w:vAlign w:val="center"/>
          </w:tcPr>
          <w:p w14:paraId="3357C4B5">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firstLine="0" w:firstLineChars="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自2022年1月1日（日期以合同签订时间为准）至首次响应文件递交截止时间止，由供应商（牵头方）已完成的1份同类项目业绩。业绩内容须包含系统测试、安全测评、密码测评三项中的任意两项或以上（若业绩仅包含上述三项内容中的任意一项，则供应商须提交两份业绩，且业绩包含系统测试、安全测评、密码测评三项中的任意两项即可。）须提供合同关键页和已由业主单位验收合格的证明材料（须加盖业主公章，清晰体现项目名称、验收结论）复印件。</w:t>
            </w:r>
          </w:p>
        </w:tc>
      </w:tr>
    </w:tbl>
    <w:p w14:paraId="7E450120">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5</w:t>
      </w:r>
      <w:r>
        <w:rPr>
          <w:rFonts w:hint="eastAsia" w:asciiTheme="minorEastAsia" w:hAnsiTheme="minorEastAsia" w:eastAsiaTheme="minorEastAsia" w:cstheme="minorEastAsia"/>
          <w:color w:val="auto"/>
          <w:sz w:val="24"/>
          <w:szCs w:val="24"/>
          <w:highlight w:val="none"/>
        </w:rPr>
        <w:t>.3是否接受联合体形式的响应谈判：</w:t>
      </w:r>
    </w:p>
    <w:p w14:paraId="5DF7D67D">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采购包1：接受</w:t>
      </w:r>
    </w:p>
    <w:p w14:paraId="53A913DD">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※根据上述资格要求，供应商响应文件中应提交的“资格证明文件”相关规定和资料要求，详见竞争性谈判须知前附表和谈判文件第五章。</w:t>
      </w:r>
    </w:p>
    <w:p w14:paraId="1E250A68">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6.获取谈判文件时间、地点、售价：</w:t>
      </w:r>
    </w:p>
    <w:p w14:paraId="3478AC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6.1获取谈判文件时间：</w:t>
      </w:r>
      <w:r>
        <w:rPr>
          <w:rFonts w:hint="eastAsia" w:asciiTheme="minorEastAsia" w:hAnsiTheme="minorEastAsia" w:eastAsiaTheme="minorEastAsia" w:cstheme="minorEastAsia"/>
          <w:b/>
          <w:bCs/>
          <w:color w:val="auto"/>
          <w:sz w:val="24"/>
          <w:szCs w:val="24"/>
          <w:highlight w:val="none"/>
          <w:u w:val="thick"/>
        </w:rPr>
        <w:t>202</w:t>
      </w:r>
      <w:r>
        <w:rPr>
          <w:rFonts w:hint="eastAsia" w:asciiTheme="minorEastAsia" w:hAnsiTheme="minorEastAsia" w:eastAsiaTheme="minorEastAsia" w:cstheme="minorEastAsia"/>
          <w:b/>
          <w:bCs/>
          <w:color w:val="auto"/>
          <w:sz w:val="24"/>
          <w:szCs w:val="24"/>
          <w:highlight w:val="none"/>
          <w:u w:val="thick"/>
          <w:lang w:val="en-US" w:eastAsia="zh-CN"/>
        </w:rPr>
        <w:t>6</w:t>
      </w:r>
      <w:r>
        <w:rPr>
          <w:rFonts w:hint="eastAsia" w:asciiTheme="minorEastAsia" w:hAnsiTheme="minorEastAsia" w:eastAsiaTheme="minorEastAsia" w:cstheme="minorEastAsia"/>
          <w:b/>
          <w:bCs/>
          <w:color w:val="auto"/>
          <w:sz w:val="24"/>
          <w:szCs w:val="24"/>
          <w:highlight w:val="none"/>
          <w:u w:val="thick"/>
        </w:rPr>
        <w:t>年</w:t>
      </w:r>
      <w:r>
        <w:rPr>
          <w:rFonts w:hint="eastAsia" w:asciiTheme="minorEastAsia" w:hAnsiTheme="minorEastAsia" w:cstheme="minorEastAsia"/>
          <w:b/>
          <w:bCs/>
          <w:color w:val="auto"/>
          <w:sz w:val="24"/>
          <w:szCs w:val="24"/>
          <w:highlight w:val="none"/>
          <w:u w:val="thick"/>
          <w:lang w:val="en-US" w:eastAsia="zh-CN"/>
        </w:rPr>
        <w:t>10</w:t>
      </w:r>
      <w:r>
        <w:rPr>
          <w:rFonts w:hint="eastAsia" w:asciiTheme="minorEastAsia" w:hAnsiTheme="minorEastAsia" w:eastAsiaTheme="minorEastAsia" w:cstheme="minorEastAsia"/>
          <w:b/>
          <w:bCs/>
          <w:color w:val="auto"/>
          <w:sz w:val="24"/>
          <w:szCs w:val="24"/>
          <w:highlight w:val="none"/>
          <w:u w:val="thick"/>
        </w:rPr>
        <w:t>月</w:t>
      </w:r>
      <w:r>
        <w:rPr>
          <w:rFonts w:hint="eastAsia" w:asciiTheme="minorEastAsia" w:hAnsiTheme="minorEastAsia" w:cstheme="minorEastAsia"/>
          <w:b/>
          <w:bCs/>
          <w:color w:val="auto"/>
          <w:sz w:val="24"/>
          <w:szCs w:val="24"/>
          <w:highlight w:val="none"/>
          <w:u w:val="thick"/>
          <w:lang w:val="en-US" w:eastAsia="zh-CN"/>
        </w:rPr>
        <w:t>22</w:t>
      </w:r>
      <w:r>
        <w:rPr>
          <w:rFonts w:hint="eastAsia" w:asciiTheme="minorEastAsia" w:hAnsiTheme="minorEastAsia" w:eastAsiaTheme="minorEastAsia" w:cstheme="minorEastAsia"/>
          <w:b/>
          <w:bCs/>
          <w:color w:val="auto"/>
          <w:sz w:val="24"/>
          <w:szCs w:val="24"/>
          <w:highlight w:val="none"/>
          <w:u w:val="thick"/>
        </w:rPr>
        <w:t>日</w:t>
      </w:r>
      <w:r>
        <w:rPr>
          <w:rFonts w:hint="eastAsia" w:asciiTheme="minorEastAsia" w:hAnsiTheme="minorEastAsia" w:eastAsiaTheme="minorEastAsia" w:cstheme="minorEastAsia"/>
          <w:color w:val="auto"/>
          <w:sz w:val="24"/>
          <w:szCs w:val="24"/>
          <w:highlight w:val="none"/>
        </w:rPr>
        <w:t>至</w:t>
      </w:r>
      <w:r>
        <w:rPr>
          <w:rFonts w:hint="eastAsia" w:asciiTheme="minorEastAsia" w:hAnsiTheme="minorEastAsia" w:eastAsiaTheme="minorEastAsia" w:cstheme="minorEastAsia"/>
          <w:b/>
          <w:bCs/>
          <w:color w:val="auto"/>
          <w:sz w:val="24"/>
          <w:szCs w:val="24"/>
          <w:highlight w:val="none"/>
          <w:u w:val="thick"/>
        </w:rPr>
        <w:t>202</w:t>
      </w:r>
      <w:r>
        <w:rPr>
          <w:rFonts w:hint="eastAsia" w:asciiTheme="minorEastAsia" w:hAnsiTheme="minorEastAsia" w:eastAsiaTheme="minorEastAsia" w:cstheme="minorEastAsia"/>
          <w:b/>
          <w:bCs/>
          <w:color w:val="auto"/>
          <w:sz w:val="24"/>
          <w:szCs w:val="24"/>
          <w:highlight w:val="none"/>
          <w:u w:val="thick"/>
          <w:lang w:val="en-US" w:eastAsia="zh-CN"/>
        </w:rPr>
        <w:t>6</w:t>
      </w:r>
      <w:r>
        <w:rPr>
          <w:rFonts w:hint="eastAsia" w:asciiTheme="minorEastAsia" w:hAnsiTheme="minorEastAsia" w:eastAsiaTheme="minorEastAsia" w:cstheme="minorEastAsia"/>
          <w:b/>
          <w:bCs/>
          <w:color w:val="auto"/>
          <w:sz w:val="24"/>
          <w:szCs w:val="24"/>
          <w:highlight w:val="none"/>
          <w:u w:val="thick"/>
        </w:rPr>
        <w:t>年</w:t>
      </w:r>
      <w:r>
        <w:rPr>
          <w:rFonts w:hint="eastAsia" w:asciiTheme="minorEastAsia" w:hAnsiTheme="minorEastAsia" w:cstheme="minorEastAsia"/>
          <w:b/>
          <w:bCs/>
          <w:color w:val="auto"/>
          <w:sz w:val="24"/>
          <w:szCs w:val="24"/>
          <w:highlight w:val="none"/>
          <w:u w:val="thick"/>
          <w:lang w:val="en-US" w:eastAsia="zh-CN"/>
        </w:rPr>
        <w:t>10</w:t>
      </w:r>
      <w:r>
        <w:rPr>
          <w:rFonts w:hint="eastAsia" w:asciiTheme="minorEastAsia" w:hAnsiTheme="minorEastAsia" w:eastAsiaTheme="minorEastAsia" w:cstheme="minorEastAsia"/>
          <w:b/>
          <w:bCs/>
          <w:color w:val="auto"/>
          <w:sz w:val="24"/>
          <w:szCs w:val="24"/>
          <w:highlight w:val="none"/>
          <w:u w:val="thick"/>
        </w:rPr>
        <w:t>月</w:t>
      </w:r>
      <w:r>
        <w:rPr>
          <w:rFonts w:hint="eastAsia" w:asciiTheme="minorEastAsia" w:hAnsiTheme="minorEastAsia" w:cstheme="minorEastAsia"/>
          <w:b/>
          <w:bCs/>
          <w:color w:val="auto"/>
          <w:sz w:val="24"/>
          <w:szCs w:val="24"/>
          <w:highlight w:val="none"/>
          <w:u w:val="thick"/>
          <w:lang w:val="en-US" w:eastAsia="zh-CN"/>
        </w:rPr>
        <w:t>27</w:t>
      </w:r>
      <w:r>
        <w:rPr>
          <w:rFonts w:hint="eastAsia" w:asciiTheme="minorEastAsia" w:hAnsiTheme="minorEastAsia" w:eastAsiaTheme="minorEastAsia" w:cstheme="minorEastAsia"/>
          <w:b/>
          <w:bCs/>
          <w:color w:val="auto"/>
          <w:sz w:val="24"/>
          <w:szCs w:val="24"/>
          <w:highlight w:val="none"/>
          <w:u w:val="thick"/>
        </w:rPr>
        <w:t>日</w:t>
      </w:r>
      <w:r>
        <w:rPr>
          <w:rFonts w:hint="eastAsia" w:asciiTheme="minorEastAsia" w:hAnsiTheme="minorEastAsia" w:eastAsiaTheme="minorEastAsia" w:cstheme="minorEastAsia"/>
          <w:color w:val="auto"/>
          <w:sz w:val="24"/>
          <w:szCs w:val="24"/>
          <w:highlight w:val="none"/>
          <w:u w:val="thick"/>
        </w:rPr>
        <w:t>（</w:t>
      </w:r>
      <w:r>
        <w:rPr>
          <w:rFonts w:hint="eastAsia" w:asciiTheme="minorEastAsia" w:hAnsiTheme="minorEastAsia" w:eastAsiaTheme="minorEastAsia" w:cstheme="minorEastAsia"/>
          <w:color w:val="auto"/>
          <w:sz w:val="24"/>
          <w:szCs w:val="24"/>
          <w:highlight w:val="none"/>
        </w:rPr>
        <w:t>双休日及法定节假日除外）。每天08:30～12:00，14:00～17:</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0（北京时间）。未在规定时间获取谈判文件的潜在供应商将失去报价资格。</w:t>
      </w:r>
    </w:p>
    <w:p w14:paraId="3A6B085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6.2地点：</w:t>
      </w:r>
      <w:r>
        <w:rPr>
          <w:rFonts w:hint="eastAsia" w:asciiTheme="minorEastAsia" w:hAnsiTheme="minorEastAsia" w:eastAsiaTheme="minorEastAsia" w:cstheme="minorEastAsia"/>
          <w:b/>
          <w:bCs/>
          <w:color w:val="auto"/>
          <w:sz w:val="24"/>
          <w:szCs w:val="24"/>
          <w:highlight w:val="none"/>
          <w:u w:val="thick"/>
        </w:rPr>
        <w:t>福建省福州市鼓楼区西洪路528号59号楼2层</w:t>
      </w:r>
      <w:r>
        <w:rPr>
          <w:rFonts w:hint="eastAsia" w:asciiTheme="minorEastAsia" w:hAnsiTheme="minorEastAsia" w:eastAsiaTheme="minorEastAsia" w:cstheme="minorEastAsia"/>
          <w:color w:val="auto"/>
          <w:sz w:val="24"/>
          <w:szCs w:val="24"/>
          <w:highlight w:val="none"/>
        </w:rPr>
        <w:t>。</w:t>
      </w:r>
    </w:p>
    <w:p w14:paraId="4D7FBFA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6.3</w:t>
      </w:r>
      <w:r>
        <w:rPr>
          <w:rFonts w:hint="eastAsia" w:asciiTheme="minorEastAsia" w:hAnsiTheme="minorEastAsia" w:eastAsia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rPr>
        <w:t>文件售价：</w:t>
      </w:r>
      <w:r>
        <w:rPr>
          <w:rFonts w:hint="eastAsia" w:asciiTheme="minorEastAsia" w:hAnsiTheme="minorEastAsia" w:eastAsiaTheme="minorEastAsia" w:cstheme="minorEastAsia"/>
          <w:color w:val="auto"/>
          <w:sz w:val="24"/>
          <w:szCs w:val="24"/>
          <w:highlight w:val="none"/>
          <w:lang w:val="en-US" w:eastAsia="zh-CN"/>
        </w:rPr>
        <w:t>0</w:t>
      </w:r>
      <w:r>
        <w:rPr>
          <w:rFonts w:hint="eastAsia" w:asciiTheme="minorEastAsia" w:hAnsiTheme="minorEastAsia" w:eastAsiaTheme="minorEastAsia" w:cstheme="minorEastAsia"/>
          <w:color w:val="auto"/>
          <w:sz w:val="24"/>
          <w:szCs w:val="24"/>
          <w:highlight w:val="none"/>
        </w:rPr>
        <w:t>元</w:t>
      </w:r>
    </w:p>
    <w:p w14:paraId="78E4DA67">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7.谈判文件获取方式：现场获取或邮件获取，若采用邮件获取，请前往福建省卓诚招投标代理有限责任公司官网（www.fjzczb.com）首页最底下办事指南查看具体流程，未获取谈判文件或未填写登记表的，响应文件将被拒绝。</w:t>
      </w:r>
    </w:p>
    <w:p w14:paraId="2F65BAE9">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8.首次响应文件递交截止时间及地点：</w:t>
      </w:r>
    </w:p>
    <w:p w14:paraId="4360019C">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首次响应文件应于</w:t>
      </w:r>
      <w:r>
        <w:rPr>
          <w:rFonts w:hint="eastAsia" w:asciiTheme="minorEastAsia" w:hAnsiTheme="minorEastAsia" w:eastAsiaTheme="minorEastAsia" w:cstheme="minorEastAsia"/>
          <w:b/>
          <w:bCs/>
          <w:color w:val="auto"/>
          <w:sz w:val="24"/>
          <w:szCs w:val="24"/>
          <w:highlight w:val="none"/>
          <w:u w:val="thick"/>
        </w:rPr>
        <w:t>202</w:t>
      </w:r>
      <w:r>
        <w:rPr>
          <w:rFonts w:hint="eastAsia" w:asciiTheme="minorEastAsia" w:hAnsiTheme="minorEastAsia" w:eastAsiaTheme="minorEastAsia" w:cstheme="minorEastAsia"/>
          <w:b/>
          <w:bCs/>
          <w:color w:val="auto"/>
          <w:sz w:val="24"/>
          <w:szCs w:val="24"/>
          <w:highlight w:val="none"/>
          <w:u w:val="thick"/>
          <w:lang w:val="en-US" w:eastAsia="zh-CN"/>
        </w:rPr>
        <w:t>6</w:t>
      </w:r>
      <w:r>
        <w:rPr>
          <w:rFonts w:hint="eastAsia" w:asciiTheme="minorEastAsia" w:hAnsiTheme="minorEastAsia" w:eastAsiaTheme="minorEastAsia" w:cstheme="minorEastAsia"/>
          <w:b/>
          <w:bCs/>
          <w:color w:val="auto"/>
          <w:sz w:val="24"/>
          <w:szCs w:val="24"/>
          <w:highlight w:val="none"/>
          <w:u w:val="thick"/>
        </w:rPr>
        <w:t>年</w:t>
      </w:r>
      <w:r>
        <w:rPr>
          <w:rFonts w:hint="eastAsia" w:asciiTheme="minorEastAsia" w:hAnsiTheme="minorEastAsia" w:cstheme="minorEastAsia"/>
          <w:b/>
          <w:bCs/>
          <w:color w:val="auto"/>
          <w:sz w:val="24"/>
          <w:szCs w:val="24"/>
          <w:highlight w:val="none"/>
          <w:u w:val="thick"/>
          <w:lang w:val="en-US" w:eastAsia="zh-CN"/>
        </w:rPr>
        <w:t>10</w:t>
      </w:r>
      <w:r>
        <w:rPr>
          <w:rFonts w:hint="eastAsia" w:asciiTheme="minorEastAsia" w:hAnsiTheme="minorEastAsia" w:eastAsiaTheme="minorEastAsia" w:cstheme="minorEastAsia"/>
          <w:b/>
          <w:bCs/>
          <w:color w:val="auto"/>
          <w:sz w:val="24"/>
          <w:szCs w:val="24"/>
          <w:highlight w:val="none"/>
          <w:u w:val="thick"/>
        </w:rPr>
        <w:t>月</w:t>
      </w:r>
      <w:r>
        <w:rPr>
          <w:rFonts w:hint="eastAsia" w:asciiTheme="minorEastAsia" w:hAnsiTheme="minorEastAsia" w:cstheme="minorEastAsia"/>
          <w:b/>
          <w:bCs/>
          <w:color w:val="auto"/>
          <w:sz w:val="24"/>
          <w:szCs w:val="24"/>
          <w:highlight w:val="none"/>
          <w:u w:val="thick"/>
          <w:lang w:val="en-US" w:eastAsia="zh-CN"/>
        </w:rPr>
        <w:t>30</w:t>
      </w:r>
      <w:r>
        <w:rPr>
          <w:rFonts w:hint="eastAsia" w:asciiTheme="minorEastAsia" w:hAnsiTheme="minorEastAsia" w:eastAsiaTheme="minorEastAsia" w:cstheme="minorEastAsia"/>
          <w:b/>
          <w:bCs/>
          <w:color w:val="auto"/>
          <w:sz w:val="24"/>
          <w:szCs w:val="24"/>
          <w:highlight w:val="none"/>
          <w:u w:val="thick"/>
        </w:rPr>
        <w:t>日</w:t>
      </w:r>
      <w:r>
        <w:rPr>
          <w:rFonts w:hint="eastAsia" w:asciiTheme="minorEastAsia" w:hAnsiTheme="minorEastAsia" w:eastAsiaTheme="minorEastAsia" w:cstheme="minorEastAsia"/>
          <w:b/>
          <w:bCs/>
          <w:color w:val="auto"/>
          <w:sz w:val="24"/>
          <w:szCs w:val="24"/>
          <w:highlight w:val="none"/>
          <w:u w:val="thick"/>
          <w:lang w:eastAsia="zh-CN"/>
        </w:rPr>
        <w:t>09:</w:t>
      </w:r>
      <w:r>
        <w:rPr>
          <w:rFonts w:hint="eastAsia" w:asciiTheme="minorEastAsia" w:hAnsiTheme="minorEastAsia" w:cstheme="minorEastAsia"/>
          <w:b/>
          <w:bCs/>
          <w:color w:val="auto"/>
          <w:sz w:val="24"/>
          <w:szCs w:val="24"/>
          <w:highlight w:val="none"/>
          <w:u w:val="thick"/>
          <w:lang w:val="en-US" w:eastAsia="zh-CN"/>
        </w:rPr>
        <w:t>00</w:t>
      </w:r>
      <w:r>
        <w:rPr>
          <w:rFonts w:hint="eastAsia" w:asciiTheme="minorEastAsia" w:hAnsiTheme="minorEastAsia" w:eastAsiaTheme="minorEastAsia" w:cstheme="minorEastAsia"/>
          <w:b/>
          <w:bCs/>
          <w:color w:val="auto"/>
          <w:sz w:val="24"/>
          <w:szCs w:val="24"/>
          <w:highlight w:val="none"/>
          <w:u w:val="thick"/>
        </w:rPr>
        <w:t>（北京时间）</w:t>
      </w:r>
      <w:r>
        <w:rPr>
          <w:rFonts w:hint="eastAsia" w:asciiTheme="minorEastAsia" w:hAnsiTheme="minorEastAsia" w:eastAsiaTheme="minorEastAsia" w:cstheme="minorEastAsia"/>
          <w:color w:val="auto"/>
          <w:sz w:val="24"/>
          <w:szCs w:val="24"/>
          <w:highlight w:val="none"/>
        </w:rPr>
        <w:t>之前提交到福建省福州市鼓楼区西洪路528号59号楼2层，</w:t>
      </w:r>
      <w:r>
        <w:rPr>
          <w:rFonts w:hint="eastAsia" w:asciiTheme="minorEastAsia" w:hAnsiTheme="minorEastAsia" w:eastAsiaTheme="minorEastAsia" w:cstheme="minorEastAsia"/>
          <w:color w:val="auto"/>
          <w:sz w:val="24"/>
          <w:szCs w:val="24"/>
          <w:highlight w:val="none"/>
          <w:lang w:eastAsia="zh-CN"/>
        </w:rPr>
        <w:t>未填写《招标（采购）文件报名登记表》或逾期收到的或不符合规定的首次响应文件将被拒收，并将其原封不动地退回供应商。</w:t>
      </w:r>
    </w:p>
    <w:p w14:paraId="26F61148">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9.谈判时间及地点：</w:t>
      </w:r>
    </w:p>
    <w:p w14:paraId="600945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9.1谈判时间：</w:t>
      </w:r>
      <w:r>
        <w:rPr>
          <w:rFonts w:hint="eastAsia" w:asciiTheme="minorEastAsia" w:hAnsiTheme="minorEastAsia" w:eastAsiaTheme="minorEastAsia" w:cstheme="minorEastAsia"/>
          <w:b/>
          <w:bCs/>
          <w:color w:val="auto"/>
          <w:sz w:val="24"/>
          <w:szCs w:val="24"/>
          <w:highlight w:val="none"/>
          <w:u w:val="thick"/>
        </w:rPr>
        <w:t>202</w:t>
      </w:r>
      <w:r>
        <w:rPr>
          <w:rFonts w:hint="eastAsia" w:asciiTheme="minorEastAsia" w:hAnsiTheme="minorEastAsia" w:eastAsiaTheme="minorEastAsia" w:cstheme="minorEastAsia"/>
          <w:b/>
          <w:bCs/>
          <w:color w:val="auto"/>
          <w:sz w:val="24"/>
          <w:szCs w:val="24"/>
          <w:highlight w:val="none"/>
          <w:u w:val="thick"/>
          <w:lang w:val="en-US" w:eastAsia="zh-CN"/>
        </w:rPr>
        <w:t>6</w:t>
      </w:r>
      <w:r>
        <w:rPr>
          <w:rFonts w:hint="eastAsia" w:asciiTheme="minorEastAsia" w:hAnsiTheme="minorEastAsia" w:eastAsiaTheme="minorEastAsia" w:cstheme="minorEastAsia"/>
          <w:b/>
          <w:bCs/>
          <w:color w:val="auto"/>
          <w:sz w:val="24"/>
          <w:szCs w:val="24"/>
          <w:highlight w:val="none"/>
          <w:u w:val="thick"/>
        </w:rPr>
        <w:t>年</w:t>
      </w:r>
      <w:r>
        <w:rPr>
          <w:rFonts w:hint="eastAsia" w:asciiTheme="minorEastAsia" w:hAnsiTheme="minorEastAsia" w:cstheme="minorEastAsia"/>
          <w:b/>
          <w:bCs/>
          <w:color w:val="auto"/>
          <w:sz w:val="24"/>
          <w:szCs w:val="24"/>
          <w:highlight w:val="none"/>
          <w:u w:val="thick"/>
          <w:lang w:val="en-US" w:eastAsia="zh-CN"/>
        </w:rPr>
        <w:t>10</w:t>
      </w:r>
      <w:r>
        <w:rPr>
          <w:rFonts w:hint="eastAsia" w:asciiTheme="minorEastAsia" w:hAnsiTheme="minorEastAsia" w:eastAsiaTheme="minorEastAsia" w:cstheme="minorEastAsia"/>
          <w:b/>
          <w:bCs/>
          <w:color w:val="auto"/>
          <w:sz w:val="24"/>
          <w:szCs w:val="24"/>
          <w:highlight w:val="none"/>
          <w:u w:val="thick"/>
        </w:rPr>
        <w:t>月</w:t>
      </w:r>
      <w:r>
        <w:rPr>
          <w:rFonts w:hint="eastAsia" w:asciiTheme="minorEastAsia" w:hAnsiTheme="minorEastAsia" w:cstheme="minorEastAsia"/>
          <w:b/>
          <w:bCs/>
          <w:color w:val="auto"/>
          <w:sz w:val="24"/>
          <w:szCs w:val="24"/>
          <w:highlight w:val="none"/>
          <w:u w:val="thick"/>
          <w:lang w:val="en-US" w:eastAsia="zh-CN"/>
        </w:rPr>
        <w:t>30</w:t>
      </w:r>
      <w:r>
        <w:rPr>
          <w:rFonts w:hint="eastAsia" w:asciiTheme="minorEastAsia" w:hAnsiTheme="minorEastAsia" w:eastAsiaTheme="minorEastAsia" w:cstheme="minorEastAsia"/>
          <w:b/>
          <w:bCs/>
          <w:color w:val="auto"/>
          <w:sz w:val="24"/>
          <w:szCs w:val="24"/>
          <w:highlight w:val="none"/>
          <w:u w:val="thick"/>
        </w:rPr>
        <w:t>日</w:t>
      </w:r>
      <w:r>
        <w:rPr>
          <w:rFonts w:hint="eastAsia" w:asciiTheme="minorEastAsia" w:hAnsiTheme="minorEastAsia" w:eastAsiaTheme="minorEastAsia" w:cstheme="minorEastAsia"/>
          <w:b/>
          <w:bCs/>
          <w:color w:val="auto"/>
          <w:sz w:val="24"/>
          <w:szCs w:val="24"/>
          <w:highlight w:val="none"/>
          <w:u w:val="thick"/>
          <w:lang w:eastAsia="zh-CN"/>
        </w:rPr>
        <w:t>09:</w:t>
      </w:r>
      <w:r>
        <w:rPr>
          <w:rFonts w:hint="eastAsia" w:asciiTheme="minorEastAsia" w:hAnsiTheme="minorEastAsia" w:cstheme="minorEastAsia"/>
          <w:b/>
          <w:bCs/>
          <w:color w:val="auto"/>
          <w:sz w:val="24"/>
          <w:szCs w:val="24"/>
          <w:highlight w:val="none"/>
          <w:u w:val="thick"/>
          <w:lang w:val="en-US" w:eastAsia="zh-CN"/>
        </w:rPr>
        <w:t>00</w:t>
      </w:r>
      <w:r>
        <w:rPr>
          <w:rFonts w:hint="eastAsia" w:asciiTheme="minorEastAsia" w:hAnsiTheme="minorEastAsia" w:eastAsiaTheme="minorEastAsia" w:cstheme="minorEastAsia"/>
          <w:b/>
          <w:bCs/>
          <w:color w:val="auto"/>
          <w:sz w:val="24"/>
          <w:szCs w:val="24"/>
          <w:highlight w:val="none"/>
          <w:u w:val="thick"/>
        </w:rPr>
        <w:t>（北京时间）</w:t>
      </w:r>
      <w:r>
        <w:rPr>
          <w:rFonts w:hint="eastAsia" w:asciiTheme="minorEastAsia" w:hAnsiTheme="minorEastAsia" w:eastAsiaTheme="minorEastAsia" w:cstheme="minorEastAsia"/>
          <w:color w:val="auto"/>
          <w:sz w:val="24"/>
          <w:szCs w:val="24"/>
          <w:highlight w:val="none"/>
        </w:rPr>
        <w:t>。</w:t>
      </w:r>
    </w:p>
    <w:p w14:paraId="767EAF0A">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9</w:t>
      </w:r>
      <w:r>
        <w:rPr>
          <w:rFonts w:hint="eastAsia" w:asciiTheme="minorEastAsia" w:hAnsiTheme="minorEastAsia" w:eastAsiaTheme="minorEastAsia" w:cstheme="minorEastAsia"/>
          <w:color w:val="auto"/>
          <w:sz w:val="24"/>
          <w:szCs w:val="24"/>
          <w:highlight w:val="none"/>
        </w:rPr>
        <w:t>.2谈判地点：福建省福州市鼓楼区西洪路528号59号楼2层。</w:t>
      </w:r>
    </w:p>
    <w:p w14:paraId="5D861D40">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10.竞争性谈判公告期限：</w:t>
      </w:r>
    </w:p>
    <w:p w14:paraId="127945F0">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自发布媒体最先发布公告之日起3个工作日。</w:t>
      </w:r>
    </w:p>
    <w:p w14:paraId="7E2B5814">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11.采购人：福建省建新医院</w:t>
      </w:r>
    </w:p>
    <w:p w14:paraId="73F6A2A0">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lang w:eastAsia="zh-CN"/>
        </w:rPr>
        <w:t>福州市鼓楼区文林路57号</w:t>
      </w:r>
    </w:p>
    <w:p w14:paraId="6F8E3B95">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u w:val="none"/>
          <w:lang w:val="en-US" w:eastAsia="zh-CN"/>
        </w:rPr>
        <w:t>邮编：</w:t>
      </w:r>
      <w:r>
        <w:rPr>
          <w:rFonts w:hint="eastAsia" w:asciiTheme="minorEastAsia" w:hAnsiTheme="minorEastAsia" w:eastAsiaTheme="minorEastAsia" w:cstheme="minorEastAsia"/>
          <w:color w:val="auto"/>
          <w:sz w:val="24"/>
          <w:szCs w:val="24"/>
          <w:highlight w:val="none"/>
          <w:u w:val="single"/>
          <w:lang w:val="en-US" w:eastAsia="zh-CN"/>
        </w:rPr>
        <w:t>350025</w:t>
      </w:r>
    </w:p>
    <w:p w14:paraId="7E339A2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联系人姓名：</w:t>
      </w:r>
      <w:r>
        <w:rPr>
          <w:rFonts w:hint="eastAsia" w:asciiTheme="minorEastAsia" w:hAnsiTheme="minorEastAsia" w:eastAsiaTheme="minorEastAsia" w:cstheme="minorEastAsia"/>
          <w:color w:val="auto"/>
          <w:sz w:val="24"/>
          <w:szCs w:val="24"/>
          <w:highlight w:val="none"/>
          <w:u w:val="single"/>
          <w:lang w:val="en-US" w:eastAsia="zh-CN"/>
        </w:rPr>
        <w:t>林先生、徐先生、纪先生</w:t>
      </w:r>
    </w:p>
    <w:p w14:paraId="0D7287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电  话：</w:t>
      </w:r>
      <w:r>
        <w:rPr>
          <w:rFonts w:hint="eastAsia" w:asciiTheme="minorEastAsia" w:hAnsiTheme="minorEastAsia" w:eastAsiaTheme="minorEastAsia" w:cstheme="minorEastAsia"/>
          <w:color w:val="auto"/>
          <w:sz w:val="24"/>
          <w:szCs w:val="24"/>
          <w:highlight w:val="none"/>
          <w:u w:val="single"/>
          <w:lang w:val="en-US" w:eastAsia="zh-CN"/>
        </w:rPr>
        <w:t>0591-63180723</w:t>
      </w:r>
    </w:p>
    <w:p w14:paraId="60E657E9">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12.代理机构：福建省卓诚招投标代理有限责任公司</w:t>
      </w:r>
    </w:p>
    <w:p w14:paraId="40FE3978">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地址：</w:t>
      </w:r>
      <w:r>
        <w:rPr>
          <w:rFonts w:hint="eastAsia" w:asciiTheme="minorEastAsia" w:hAnsiTheme="minorEastAsia" w:eastAsiaTheme="minorEastAsia" w:cstheme="minorEastAsia"/>
          <w:color w:val="auto"/>
          <w:sz w:val="24"/>
          <w:szCs w:val="24"/>
          <w:highlight w:val="none"/>
          <w:u w:val="single"/>
        </w:rPr>
        <w:t>福建省福州市鼓楼区西洪路528号59号楼2层</w:t>
      </w:r>
    </w:p>
    <w:p w14:paraId="12A3CCEB">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邮编：</w:t>
      </w:r>
      <w:r>
        <w:rPr>
          <w:rFonts w:hint="eastAsia" w:asciiTheme="minorEastAsia" w:hAnsiTheme="minorEastAsia" w:eastAsiaTheme="minorEastAsia" w:cstheme="minorEastAsia"/>
          <w:color w:val="auto"/>
          <w:sz w:val="24"/>
          <w:szCs w:val="24"/>
          <w:highlight w:val="none"/>
          <w:u w:val="single"/>
        </w:rPr>
        <w:t>350</w:t>
      </w:r>
      <w:r>
        <w:rPr>
          <w:rFonts w:hint="eastAsia" w:asciiTheme="minorEastAsia" w:hAnsiTheme="minorEastAsia" w:eastAsiaTheme="minorEastAsia" w:cstheme="minorEastAsia"/>
          <w:color w:val="auto"/>
          <w:sz w:val="24"/>
          <w:szCs w:val="24"/>
          <w:highlight w:val="none"/>
          <w:u w:val="single"/>
          <w:lang w:eastAsia="zh-CN"/>
        </w:rPr>
        <w:t>025</w:t>
      </w:r>
    </w:p>
    <w:p w14:paraId="6A3336A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lang w:eastAsia="zh-CN"/>
        </w:rPr>
        <w:t>张思婕、陈丽娜</w:t>
      </w:r>
      <w:r>
        <w:rPr>
          <w:rFonts w:hint="eastAsia" w:asciiTheme="minorEastAsia" w:hAnsiTheme="minorEastAsia" w:eastAsiaTheme="minorEastAsia" w:cstheme="minorEastAsia"/>
          <w:color w:val="auto"/>
          <w:sz w:val="24"/>
          <w:szCs w:val="24"/>
          <w:highlight w:val="none"/>
          <w:u w:val="single"/>
        </w:rPr>
        <w:t>、</w:t>
      </w:r>
      <w:r>
        <w:rPr>
          <w:rFonts w:hint="eastAsia" w:asciiTheme="minorEastAsia" w:hAnsiTheme="minorEastAsia" w:eastAsiaTheme="minorEastAsia" w:cstheme="minorEastAsia"/>
          <w:color w:val="auto"/>
          <w:sz w:val="24"/>
          <w:szCs w:val="24"/>
          <w:highlight w:val="none"/>
          <w:u w:val="single"/>
          <w:lang w:eastAsia="zh-CN"/>
        </w:rPr>
        <w:t>陈上坤</w:t>
      </w:r>
    </w:p>
    <w:p w14:paraId="4CCB638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rPr>
        <w:t>0591-83625873</w:t>
      </w:r>
    </w:p>
    <w:p w14:paraId="59D05E3A">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outlineLvl w:val="1"/>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13.代理服务费、</w:t>
      </w:r>
      <w:r>
        <w:rPr>
          <w:rFonts w:hint="eastAsia" w:asciiTheme="minorEastAsia" w:hAnsiTheme="minorEastAsia" w:eastAsiaTheme="minorEastAsia" w:cstheme="minorEastAsia"/>
          <w:b/>
          <w:color w:val="auto"/>
          <w:sz w:val="24"/>
          <w:szCs w:val="24"/>
          <w:highlight w:val="none"/>
          <w:lang w:val="en-US" w:eastAsia="zh-CN"/>
        </w:rPr>
        <w:t>谈判保证金</w:t>
      </w:r>
      <w:r>
        <w:rPr>
          <w:rFonts w:hint="eastAsia" w:asciiTheme="minorEastAsia" w:hAnsiTheme="minorEastAsia" w:eastAsiaTheme="minorEastAsia" w:cstheme="minorEastAsia"/>
          <w:b/>
          <w:color w:val="auto"/>
          <w:sz w:val="24"/>
          <w:szCs w:val="24"/>
          <w:highlight w:val="none"/>
          <w:lang w:eastAsia="zh-CN"/>
        </w:rPr>
        <w:t>缴交银行账户信息</w:t>
      </w:r>
    </w:p>
    <w:tbl>
      <w:tblPr>
        <w:tblStyle w:val="19"/>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8447"/>
      </w:tblGrid>
      <w:tr w14:paraId="3A02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restart"/>
            <w:vAlign w:val="center"/>
          </w:tcPr>
          <w:p w14:paraId="31B561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代理服务费账户</w:t>
            </w:r>
          </w:p>
        </w:tc>
        <w:tc>
          <w:tcPr>
            <w:tcW w:w="8447" w:type="dxa"/>
            <w:vAlign w:val="center"/>
          </w:tcPr>
          <w:p w14:paraId="7BE947A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开户名称：福建省卓诚招投标代理有限责任公司</w:t>
            </w:r>
          </w:p>
        </w:tc>
      </w:tr>
      <w:tr w14:paraId="5106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continue"/>
            <w:vAlign w:val="center"/>
          </w:tcPr>
          <w:p w14:paraId="2CD353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p>
        </w:tc>
        <w:tc>
          <w:tcPr>
            <w:tcW w:w="8447" w:type="dxa"/>
            <w:vAlign w:val="center"/>
          </w:tcPr>
          <w:p w14:paraId="154F8CC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账    号：3505 0161 3900 0000 0320</w:t>
            </w:r>
          </w:p>
        </w:tc>
      </w:tr>
      <w:tr w14:paraId="33DE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continue"/>
            <w:vAlign w:val="center"/>
          </w:tcPr>
          <w:p w14:paraId="5DB13C9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p>
        </w:tc>
        <w:tc>
          <w:tcPr>
            <w:tcW w:w="8447" w:type="dxa"/>
            <w:vAlign w:val="center"/>
          </w:tcPr>
          <w:p w14:paraId="02C0285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开户银行：中国建设银行股份有限公司福州福马支行</w:t>
            </w:r>
          </w:p>
        </w:tc>
      </w:tr>
      <w:tr w14:paraId="4426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restart"/>
            <w:vAlign w:val="center"/>
          </w:tcPr>
          <w:p w14:paraId="45906A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lang w:val="en-US" w:eastAsia="zh-CN"/>
              </w:rPr>
              <w:t>谈判</w:t>
            </w:r>
            <w:r>
              <w:rPr>
                <w:rFonts w:hint="eastAsia" w:asciiTheme="minorEastAsia" w:hAnsiTheme="minorEastAsia" w:eastAsiaTheme="minorEastAsia" w:cstheme="minorEastAsia"/>
                <w:color w:val="auto"/>
                <w:kern w:val="0"/>
                <w:sz w:val="24"/>
                <w:szCs w:val="24"/>
                <w:highlight w:val="none"/>
                <w:shd w:val="clear" w:color="auto" w:fill="FFFFFF"/>
              </w:rPr>
              <w:t>保证金账户</w:t>
            </w:r>
          </w:p>
        </w:tc>
        <w:tc>
          <w:tcPr>
            <w:tcW w:w="8447" w:type="dxa"/>
            <w:vAlign w:val="center"/>
          </w:tcPr>
          <w:p w14:paraId="321B7D1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开户名称：福建省卓诚招投标代理有限责任公司</w:t>
            </w:r>
          </w:p>
        </w:tc>
      </w:tr>
      <w:tr w14:paraId="3C15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continue"/>
            <w:vAlign w:val="center"/>
          </w:tcPr>
          <w:p w14:paraId="40D8F89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p>
        </w:tc>
        <w:tc>
          <w:tcPr>
            <w:tcW w:w="8447" w:type="dxa"/>
            <w:vAlign w:val="center"/>
          </w:tcPr>
          <w:p w14:paraId="08DFF2C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账    号：8021 3316 0000 50</w:t>
            </w:r>
          </w:p>
        </w:tc>
      </w:tr>
      <w:tr w14:paraId="7E20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Merge w:val="continue"/>
            <w:vAlign w:val="center"/>
          </w:tcPr>
          <w:p w14:paraId="17CF65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p>
        </w:tc>
        <w:tc>
          <w:tcPr>
            <w:tcW w:w="8447" w:type="dxa"/>
            <w:vAlign w:val="center"/>
          </w:tcPr>
          <w:p w14:paraId="1DB3BD4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开户银行：厦门银行股份有限公司福州江滨支行</w:t>
            </w:r>
          </w:p>
        </w:tc>
      </w:tr>
      <w:tr w14:paraId="39C8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75B4F95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特别提示</w:t>
            </w:r>
          </w:p>
        </w:tc>
        <w:tc>
          <w:tcPr>
            <w:tcW w:w="8447" w:type="dxa"/>
            <w:vAlign w:val="center"/>
          </w:tcPr>
          <w:p w14:paraId="767595B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1、</w:t>
            </w:r>
            <w:r>
              <w:rPr>
                <w:rFonts w:hint="eastAsia" w:asciiTheme="minorEastAsia" w:hAnsiTheme="minorEastAsia" w:eastAsiaTheme="minorEastAsia" w:cstheme="minorEastAsia"/>
                <w:color w:val="000000" w:themeColor="text1"/>
                <w:kern w:val="0"/>
                <w:sz w:val="24"/>
                <w:szCs w:val="24"/>
                <w:highlight w:val="none"/>
                <w:shd w:val="clear" w:color="auto" w:fill="FFFFFF"/>
                <w:lang w:eastAsia="zh-CN"/>
                <w14:textFill>
                  <w14:solidFill>
                    <w14:schemeClr w14:val="tx1"/>
                  </w14:solidFill>
                </w14:textFill>
              </w:rPr>
              <w:t>供应商</w:t>
            </w:r>
            <w:r>
              <w:rPr>
                <w:rFonts w:hint="eastAsia" w:asciiTheme="minorEastAsia" w:hAnsiTheme="minorEastAsia" w:eastAsiaTheme="minorEastAsia" w:cstheme="minorEastAsia"/>
                <w:color w:val="auto"/>
                <w:kern w:val="0"/>
                <w:sz w:val="24"/>
                <w:szCs w:val="24"/>
                <w:highlight w:val="none"/>
                <w:shd w:val="clear" w:color="auto" w:fill="FFFFFF"/>
              </w:rPr>
              <w:t>应认真核对账户信息，将</w:t>
            </w:r>
            <w:r>
              <w:rPr>
                <w:rFonts w:hint="eastAsia" w:asciiTheme="minorEastAsia" w:hAnsiTheme="minorEastAsia" w:eastAsiaTheme="minorEastAsia" w:cstheme="minorEastAsia"/>
                <w:color w:val="auto"/>
                <w:kern w:val="0"/>
                <w:sz w:val="24"/>
                <w:szCs w:val="24"/>
                <w:highlight w:val="none"/>
                <w:shd w:val="clear" w:color="auto" w:fill="FFFFFF"/>
                <w:lang w:val="en-US" w:eastAsia="zh-CN"/>
              </w:rPr>
              <w:t>谈判</w:t>
            </w:r>
            <w:r>
              <w:rPr>
                <w:rFonts w:hint="eastAsia" w:asciiTheme="minorEastAsia" w:hAnsiTheme="minorEastAsia" w:eastAsiaTheme="minorEastAsia" w:cstheme="minorEastAsia"/>
                <w:color w:val="auto"/>
                <w:kern w:val="0"/>
                <w:sz w:val="24"/>
                <w:szCs w:val="24"/>
                <w:highlight w:val="none"/>
                <w:shd w:val="clear" w:color="auto" w:fill="FFFFFF"/>
              </w:rPr>
              <w:t>保证金汇入</w:t>
            </w:r>
            <w:r>
              <w:rPr>
                <w:rFonts w:hint="eastAsia" w:asciiTheme="minorEastAsia" w:hAnsiTheme="minorEastAsia" w:eastAsiaTheme="minorEastAsia" w:cstheme="minorEastAsia"/>
                <w:color w:val="auto"/>
                <w:kern w:val="0"/>
                <w:sz w:val="24"/>
                <w:szCs w:val="24"/>
                <w:highlight w:val="none"/>
                <w:shd w:val="clear" w:color="auto" w:fill="FFFFFF"/>
                <w:lang w:val="en-US" w:eastAsia="zh-CN"/>
              </w:rPr>
              <w:t>谈判</w:t>
            </w:r>
            <w:r>
              <w:rPr>
                <w:rFonts w:hint="eastAsia" w:asciiTheme="minorEastAsia" w:hAnsiTheme="minorEastAsia" w:eastAsiaTheme="minorEastAsia" w:cstheme="minorEastAsia"/>
                <w:color w:val="auto"/>
                <w:kern w:val="0"/>
                <w:sz w:val="24"/>
                <w:szCs w:val="24"/>
                <w:highlight w:val="none"/>
                <w:shd w:val="clear" w:color="auto" w:fill="FFFFFF"/>
              </w:rPr>
              <w:t>保证金账户，并自行承担因汇错</w:t>
            </w:r>
            <w:r>
              <w:rPr>
                <w:rFonts w:hint="eastAsia" w:asciiTheme="minorEastAsia" w:hAnsiTheme="minorEastAsia" w:eastAsiaTheme="minorEastAsia" w:cstheme="minorEastAsia"/>
                <w:color w:val="auto"/>
                <w:kern w:val="0"/>
                <w:sz w:val="24"/>
                <w:szCs w:val="24"/>
                <w:highlight w:val="none"/>
                <w:shd w:val="clear" w:color="auto" w:fill="FFFFFF"/>
                <w:lang w:val="en-US" w:eastAsia="zh-CN"/>
              </w:rPr>
              <w:t>谈判</w:t>
            </w:r>
            <w:r>
              <w:rPr>
                <w:rFonts w:hint="eastAsia" w:asciiTheme="minorEastAsia" w:hAnsiTheme="minorEastAsia" w:eastAsiaTheme="minorEastAsia" w:cstheme="minorEastAsia"/>
                <w:color w:val="auto"/>
                <w:kern w:val="0"/>
                <w:sz w:val="24"/>
                <w:szCs w:val="24"/>
                <w:highlight w:val="none"/>
                <w:shd w:val="clear" w:color="auto" w:fill="FFFFFF"/>
              </w:rPr>
              <w:t>保证金而产生的一切后果。</w:t>
            </w:r>
          </w:p>
          <w:p w14:paraId="05BDB33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kern w:val="0"/>
                <w:sz w:val="24"/>
                <w:szCs w:val="24"/>
                <w:highlight w:val="none"/>
                <w:shd w:val="clear" w:color="auto" w:fill="FFFFFF"/>
              </w:rPr>
            </w:pPr>
            <w:r>
              <w:rPr>
                <w:rFonts w:hint="eastAsia" w:asciiTheme="minorEastAsia" w:hAnsiTheme="minorEastAsia" w:eastAsiaTheme="minorEastAsia" w:cstheme="minorEastAsia"/>
                <w:color w:val="auto"/>
                <w:kern w:val="0"/>
                <w:sz w:val="24"/>
                <w:szCs w:val="24"/>
                <w:highlight w:val="none"/>
                <w:shd w:val="clear" w:color="auto" w:fill="FFFFFF"/>
              </w:rPr>
              <w:t>2、</w:t>
            </w:r>
            <w:r>
              <w:rPr>
                <w:rFonts w:hint="eastAsia" w:asciiTheme="minorEastAsia" w:hAnsiTheme="minorEastAsia" w:eastAsiaTheme="minorEastAsia" w:cstheme="minorEastAsia"/>
                <w:color w:val="000000" w:themeColor="text1"/>
                <w:kern w:val="0"/>
                <w:sz w:val="24"/>
                <w:szCs w:val="24"/>
                <w:highlight w:val="none"/>
                <w:shd w:val="clear" w:color="auto" w:fill="FFFFFF"/>
                <w:lang w:eastAsia="zh-CN"/>
                <w14:textFill>
                  <w14:solidFill>
                    <w14:schemeClr w14:val="tx1"/>
                  </w14:solidFill>
                </w14:textFill>
              </w:rPr>
              <w:t>供应商</w:t>
            </w:r>
            <w:r>
              <w:rPr>
                <w:rFonts w:hint="eastAsia" w:asciiTheme="minorEastAsia" w:hAnsiTheme="minorEastAsia" w:eastAsiaTheme="minorEastAsia" w:cstheme="minorEastAsia"/>
                <w:color w:val="auto"/>
                <w:kern w:val="0"/>
                <w:sz w:val="24"/>
                <w:szCs w:val="24"/>
                <w:highlight w:val="none"/>
                <w:shd w:val="clear" w:color="auto" w:fill="FFFFFF"/>
              </w:rPr>
              <w:t>在转账或电汇的凭证上在用途注明“项目编号”的</w:t>
            </w:r>
            <w:r>
              <w:rPr>
                <w:rFonts w:hint="eastAsia" w:asciiTheme="minorEastAsia" w:hAnsiTheme="minorEastAsia" w:eastAsiaTheme="minorEastAsia" w:cstheme="minorEastAsia"/>
                <w:color w:val="auto"/>
                <w:kern w:val="0"/>
                <w:sz w:val="24"/>
                <w:szCs w:val="24"/>
                <w:highlight w:val="none"/>
                <w:shd w:val="clear" w:color="auto" w:fill="FFFFFF"/>
                <w:lang w:val="en-US" w:eastAsia="zh-CN"/>
              </w:rPr>
              <w:t>谈判</w:t>
            </w:r>
            <w:r>
              <w:rPr>
                <w:rFonts w:hint="eastAsia" w:asciiTheme="minorEastAsia" w:hAnsiTheme="minorEastAsia" w:eastAsiaTheme="minorEastAsia" w:cstheme="minorEastAsia"/>
                <w:color w:val="auto"/>
                <w:kern w:val="0"/>
                <w:sz w:val="24"/>
                <w:szCs w:val="24"/>
                <w:highlight w:val="none"/>
                <w:shd w:val="clear" w:color="auto" w:fill="FFFFFF"/>
              </w:rPr>
              <w:t>保证金。</w:t>
            </w:r>
          </w:p>
        </w:tc>
      </w:tr>
    </w:tbl>
    <w:p w14:paraId="1B4265F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14.特别提示</w:t>
      </w:r>
    </w:p>
    <w:p w14:paraId="22463E2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14.1潜在供应商在谈判文件报名登记表所填写的信息须为真实、准确、完整，且不具有任何误导性。潜在供应商已详细审查全部谈判文件，包括修改文件（如有的话）和有关附件，将自行承担因对全部谈判文件理解不正确或误解而产生的相应后果。</w:t>
      </w:r>
    </w:p>
    <w:p w14:paraId="5E2E28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14.2供应商</w:t>
      </w:r>
      <w:r>
        <w:rPr>
          <w:rFonts w:hint="eastAsia" w:asciiTheme="minorEastAsia" w:hAnsiTheme="minorEastAsia" w:eastAsiaTheme="minorEastAsia" w:cstheme="minorEastAsia"/>
          <w:color w:val="auto"/>
          <w:kern w:val="0"/>
          <w:sz w:val="24"/>
          <w:szCs w:val="24"/>
          <w:highlight w:val="none"/>
        </w:rPr>
        <w:t>在递交响应文件过程中要注意时间的合理安排。</w:t>
      </w:r>
    </w:p>
    <w:p w14:paraId="76E34A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14.3未在提交首次响应文件截止时间前送达的响应文件将被拒收。</w:t>
      </w:r>
    </w:p>
    <w:p w14:paraId="4AAE9EAE">
      <w:pPr>
        <w:pStyle w:val="31"/>
        <w:jc w:val="center"/>
        <w:rPr>
          <w:rFonts w:hint="default" w:ascii="宋体" w:hAnsi="宋体" w:eastAsia="宋体" w:cs="宋体"/>
          <w:b/>
          <w:color w:val="0000FF"/>
          <w:sz w:val="24"/>
          <w:szCs w:val="24"/>
          <w:highlight w:val="none"/>
        </w:rPr>
        <w:sectPr>
          <w:pgSz w:w="11906" w:h="16838"/>
          <w:pgMar w:top="1417" w:right="1417" w:bottom="1417" w:left="1417" w:header="851" w:footer="992" w:gutter="0"/>
          <w:cols w:space="0" w:num="1"/>
          <w:rtlGutter w:val="0"/>
          <w:docGrid w:type="lines" w:linePitch="312" w:charSpace="0"/>
        </w:sectPr>
      </w:pPr>
    </w:p>
    <w:p w14:paraId="1A94C0F7">
      <w:pPr>
        <w:pStyle w:val="31"/>
        <w:jc w:val="center"/>
        <w:outlineLvl w:val="0"/>
        <w:rPr>
          <w:rFonts w:hint="default" w:ascii="宋体" w:hAnsi="宋体" w:eastAsia="宋体" w:cs="宋体"/>
          <w:b/>
          <w:color w:val="auto"/>
          <w:sz w:val="36"/>
          <w:highlight w:val="none"/>
        </w:rPr>
      </w:pPr>
      <w:bookmarkStart w:id="5" w:name="_Toc23073"/>
      <w:r>
        <w:rPr>
          <w:rFonts w:ascii="宋体" w:hAnsi="宋体" w:eastAsia="宋体" w:cs="宋体"/>
          <w:b/>
          <w:color w:val="auto"/>
          <w:sz w:val="36"/>
          <w:highlight w:val="none"/>
        </w:rPr>
        <w:t>第二章  竞争性谈判须知</w:t>
      </w:r>
      <w:bookmarkEnd w:id="5"/>
    </w:p>
    <w:p w14:paraId="4EC70157">
      <w:pPr>
        <w:pStyle w:val="31"/>
        <w:jc w:val="center"/>
        <w:outlineLvl w:val="1"/>
        <w:rPr>
          <w:rFonts w:hint="default" w:ascii="宋体" w:hAnsi="宋体" w:eastAsia="宋体" w:cs="宋体"/>
          <w:color w:val="auto"/>
          <w:highlight w:val="none"/>
        </w:rPr>
      </w:pPr>
      <w:r>
        <w:rPr>
          <w:rFonts w:ascii="宋体" w:hAnsi="宋体" w:eastAsia="宋体" w:cs="宋体"/>
          <w:b/>
          <w:color w:val="auto"/>
          <w:sz w:val="28"/>
          <w:highlight w:val="none"/>
        </w:rPr>
        <w:t>第1节 竞争性谈判须知前附表（表1、表2）</w:t>
      </w:r>
    </w:p>
    <w:p w14:paraId="74197092">
      <w:pPr>
        <w:pStyle w:val="31"/>
        <w:keepNext w:val="0"/>
        <w:keepLines w:val="0"/>
        <w:pageBreakBefore w:val="0"/>
        <w:widowControl w:val="0"/>
        <w:kinsoku/>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一、竞争性谈判须知前附表1</w:t>
      </w:r>
    </w:p>
    <w:p w14:paraId="4A1F27B4">
      <w:pPr>
        <w:pStyle w:val="31"/>
        <w:keepNext w:val="0"/>
        <w:keepLines w:val="0"/>
        <w:pageBreakBefore w:val="0"/>
        <w:widowControl w:val="0"/>
        <w:kinsoku/>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竞争性谈判须知前附表是对竞争性谈判须知的补充和细化，二者如有矛盾，以前附表中的要求和规定为准</w:t>
      </w:r>
      <w:r>
        <w:rPr>
          <w:rFonts w:hint="eastAsia" w:asciiTheme="minorEastAsia" w:hAnsiTheme="minorEastAsia" w:eastAsiaTheme="minorEastAsia" w:cstheme="minorEastAsia"/>
          <w:bCs/>
          <w:color w:val="auto"/>
          <w:sz w:val="24"/>
          <w:szCs w:val="24"/>
          <w:highlight w:val="none"/>
          <w:lang w:eastAsia="zh-CN"/>
        </w:rPr>
        <w:t>。</w:t>
      </w:r>
    </w:p>
    <w:tbl>
      <w:tblPr>
        <w:tblStyle w:val="19"/>
        <w:tblW w:w="949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936"/>
        <w:gridCol w:w="8107"/>
      </w:tblGrid>
      <w:tr w14:paraId="1A22D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3F9AE00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项号</w:t>
            </w:r>
          </w:p>
        </w:tc>
        <w:tc>
          <w:tcPr>
            <w:tcW w:w="936" w:type="dxa"/>
            <w:vAlign w:val="center"/>
          </w:tcPr>
          <w:p w14:paraId="345B5AE3">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条款号</w:t>
            </w:r>
          </w:p>
        </w:tc>
        <w:tc>
          <w:tcPr>
            <w:tcW w:w="8107" w:type="dxa"/>
            <w:vAlign w:val="center"/>
          </w:tcPr>
          <w:p w14:paraId="3DE69EE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编列内容</w:t>
            </w:r>
          </w:p>
        </w:tc>
      </w:tr>
      <w:tr w14:paraId="2B071A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05583C26">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p>
        </w:tc>
        <w:tc>
          <w:tcPr>
            <w:tcW w:w="936" w:type="dxa"/>
            <w:vAlign w:val="center"/>
          </w:tcPr>
          <w:p w14:paraId="5B99DAE2">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3.2.1</w:t>
            </w:r>
          </w:p>
        </w:tc>
        <w:tc>
          <w:tcPr>
            <w:tcW w:w="8107" w:type="dxa"/>
            <w:vAlign w:val="center"/>
          </w:tcPr>
          <w:p w14:paraId="7D454CB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供应商的资格要求：见谈判文件第一章“采购公告/采购邀请书”</w:t>
            </w:r>
          </w:p>
          <w:p w14:paraId="15BDDE81">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资格证明文件资料要求：</w:t>
            </w:r>
          </w:p>
          <w:p w14:paraId="069F0D7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采购包1：</w:t>
            </w:r>
          </w:p>
          <w:tbl>
            <w:tblPr>
              <w:tblStyle w:val="19"/>
              <w:tblW w:w="79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37"/>
              <w:gridCol w:w="1701"/>
              <w:gridCol w:w="5499"/>
            </w:tblGrid>
            <w:tr w14:paraId="5C7830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7628170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序号</w:t>
                  </w:r>
                </w:p>
              </w:tc>
              <w:tc>
                <w:tcPr>
                  <w:tcW w:w="1701" w:type="dxa"/>
                  <w:vAlign w:val="center"/>
                </w:tcPr>
                <w:p w14:paraId="3CA7878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资格审查要求概况</w:t>
                  </w:r>
                </w:p>
              </w:tc>
              <w:tc>
                <w:tcPr>
                  <w:tcW w:w="5499" w:type="dxa"/>
                  <w:vAlign w:val="center"/>
                </w:tcPr>
                <w:p w14:paraId="6ADDFBB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评审点具体描述</w:t>
                  </w:r>
                </w:p>
              </w:tc>
            </w:tr>
            <w:tr w14:paraId="52BEF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2A55BF3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p>
              </w:tc>
              <w:tc>
                <w:tcPr>
                  <w:tcW w:w="1701" w:type="dxa"/>
                  <w:vAlign w:val="center"/>
                </w:tcPr>
                <w:p w14:paraId="2091308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谈判响应声明</w:t>
                  </w:r>
                </w:p>
              </w:tc>
              <w:tc>
                <w:tcPr>
                  <w:tcW w:w="5499" w:type="dxa"/>
                  <w:vAlign w:val="center"/>
                </w:tcPr>
                <w:p w14:paraId="256821F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详见声明函</w:t>
                  </w:r>
                </w:p>
              </w:tc>
            </w:tr>
            <w:tr w14:paraId="53D4B1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0615319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2</w:t>
                  </w:r>
                </w:p>
              </w:tc>
              <w:tc>
                <w:tcPr>
                  <w:tcW w:w="1701" w:type="dxa"/>
                  <w:vAlign w:val="center"/>
                </w:tcPr>
                <w:p w14:paraId="2CB4E27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单位负责人授权书</w:t>
                  </w:r>
                </w:p>
              </w:tc>
              <w:tc>
                <w:tcPr>
                  <w:tcW w:w="5499" w:type="dxa"/>
                  <w:vAlign w:val="center"/>
                </w:tcPr>
                <w:p w14:paraId="0EACBB1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5A817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43077B14">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3</w:t>
                  </w:r>
                </w:p>
              </w:tc>
              <w:tc>
                <w:tcPr>
                  <w:tcW w:w="1701" w:type="dxa"/>
                  <w:vAlign w:val="center"/>
                </w:tcPr>
                <w:p w14:paraId="73AB88B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营业执照等证明文件</w:t>
                  </w:r>
                </w:p>
              </w:tc>
              <w:tc>
                <w:tcPr>
                  <w:tcW w:w="5499" w:type="dxa"/>
                  <w:vAlign w:val="center"/>
                </w:tcPr>
                <w:p w14:paraId="2F3E37B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7C7B7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16960A7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4</w:t>
                  </w:r>
                </w:p>
              </w:tc>
              <w:tc>
                <w:tcPr>
                  <w:tcW w:w="1701" w:type="dxa"/>
                  <w:vAlign w:val="center"/>
                </w:tcPr>
                <w:p w14:paraId="28CFF51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提供财务状况报告（财务报告、或资信证明）</w:t>
                  </w:r>
                </w:p>
              </w:tc>
              <w:tc>
                <w:tcPr>
                  <w:tcW w:w="5499" w:type="dxa"/>
                  <w:vAlign w:val="center"/>
                </w:tcPr>
                <w:p w14:paraId="4EF1B76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提供的财务报告复印件（成立年限按照提交响应文件截止时间推算）应符合下列规定：a.成立年限满1年及以上的供应商，提供经审计的上一年度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329A4A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087BD1C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5</w:t>
                  </w:r>
                </w:p>
              </w:tc>
              <w:tc>
                <w:tcPr>
                  <w:tcW w:w="1701" w:type="dxa"/>
                  <w:vAlign w:val="center"/>
                </w:tcPr>
                <w:p w14:paraId="2B9A61B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依法缴纳税收证明材料</w:t>
                  </w:r>
                </w:p>
              </w:tc>
              <w:tc>
                <w:tcPr>
                  <w:tcW w:w="5499" w:type="dxa"/>
                  <w:vAlign w:val="center"/>
                </w:tcPr>
                <w:p w14:paraId="16CD220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14:paraId="0D45E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728A81C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6</w:t>
                  </w:r>
                </w:p>
              </w:tc>
              <w:tc>
                <w:tcPr>
                  <w:tcW w:w="1701" w:type="dxa"/>
                  <w:vAlign w:val="center"/>
                </w:tcPr>
                <w:p w14:paraId="307367A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依法缴纳社会保障资金证明材料</w:t>
                  </w:r>
                </w:p>
              </w:tc>
              <w:tc>
                <w:tcPr>
                  <w:tcW w:w="5499" w:type="dxa"/>
                  <w:vAlign w:val="center"/>
                </w:tcPr>
                <w:p w14:paraId="336E980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14:paraId="21FDC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3E128A0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7</w:t>
                  </w:r>
                </w:p>
              </w:tc>
              <w:tc>
                <w:tcPr>
                  <w:tcW w:w="1701" w:type="dxa"/>
                  <w:vAlign w:val="center"/>
                </w:tcPr>
                <w:p w14:paraId="5918BC0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具备履行合同所必需设备和专业技术能力的声明函(若有)</w:t>
                  </w:r>
                </w:p>
              </w:tc>
              <w:tc>
                <w:tcPr>
                  <w:tcW w:w="5499" w:type="dxa"/>
                  <w:vAlign w:val="center"/>
                </w:tcPr>
                <w:p w14:paraId="3CE068D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46382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017C7F6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8</w:t>
                  </w:r>
                </w:p>
              </w:tc>
              <w:tc>
                <w:tcPr>
                  <w:tcW w:w="1701" w:type="dxa"/>
                  <w:vAlign w:val="center"/>
                </w:tcPr>
                <w:p w14:paraId="2EE4DE3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参加采购活动前三年内在经营活动中没有重大违法记录的声明</w:t>
                  </w:r>
                </w:p>
              </w:tc>
              <w:tc>
                <w:tcPr>
                  <w:tcW w:w="5499" w:type="dxa"/>
                  <w:vAlign w:val="center"/>
                </w:tcPr>
                <w:p w14:paraId="7E51A7F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2FB3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331F363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9</w:t>
                  </w:r>
                </w:p>
              </w:tc>
              <w:tc>
                <w:tcPr>
                  <w:tcW w:w="1701" w:type="dxa"/>
                  <w:vAlign w:val="center"/>
                </w:tcPr>
                <w:p w14:paraId="4896937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中小企业声明函（以资格条件落实中小企业扶持政策时适用 ）</w:t>
                  </w:r>
                </w:p>
              </w:tc>
              <w:tc>
                <w:tcPr>
                  <w:tcW w:w="5499" w:type="dxa"/>
                  <w:vAlign w:val="center"/>
                </w:tcPr>
                <w:p w14:paraId="2B4798B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549901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3C4173B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10</w:t>
                  </w:r>
                </w:p>
              </w:tc>
              <w:tc>
                <w:tcPr>
                  <w:tcW w:w="1701" w:type="dxa"/>
                  <w:vAlign w:val="center"/>
                </w:tcPr>
                <w:p w14:paraId="5E20CCD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信用记录查询结果</w:t>
                  </w:r>
                </w:p>
              </w:tc>
              <w:tc>
                <w:tcPr>
                  <w:tcW w:w="5499" w:type="dxa"/>
                  <w:vAlign w:val="center"/>
                </w:tcPr>
                <w:p w14:paraId="26E5566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5B5E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vAlign w:val="center"/>
                </w:tcPr>
                <w:p w14:paraId="2E32C87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11</w:t>
                  </w:r>
                </w:p>
              </w:tc>
              <w:tc>
                <w:tcPr>
                  <w:tcW w:w="1701" w:type="dxa"/>
                  <w:vAlign w:val="center"/>
                </w:tcPr>
                <w:p w14:paraId="3B5C94ED">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联合体协议（若有）</w:t>
                  </w:r>
                </w:p>
              </w:tc>
              <w:tc>
                <w:tcPr>
                  <w:tcW w:w="5499" w:type="dxa"/>
                  <w:vAlign w:val="center"/>
                </w:tcPr>
                <w:p w14:paraId="438B545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①采购文件接受联合体报价且供应商为联合体的，供应商应提供本协议；否则无须提供。②本协议由委托代理人签字或盖章的，应按照采购文件第五章载明的格式提供“单位负责人授权书”。</w:t>
                  </w:r>
                </w:p>
              </w:tc>
            </w:tr>
          </w:tbl>
          <w:p w14:paraId="34382AEB">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
                <w:color w:val="auto"/>
                <w:sz w:val="24"/>
                <w:szCs w:val="24"/>
                <w:highlight w:val="none"/>
              </w:rPr>
              <w:t>特定资格条件</w:t>
            </w:r>
            <w:r>
              <w:rPr>
                <w:rFonts w:hint="eastAsia" w:asciiTheme="minorEastAsia" w:hAnsiTheme="minorEastAsia" w:eastAsiaTheme="minorEastAsia" w:cstheme="minorEastAsia"/>
                <w:bCs/>
                <w:color w:val="auto"/>
                <w:sz w:val="24"/>
                <w:szCs w:val="24"/>
                <w:highlight w:val="none"/>
              </w:rPr>
              <w:t>：</w:t>
            </w:r>
          </w:p>
          <w:p w14:paraId="13BBE087">
            <w:pPr>
              <w:pStyle w:val="31"/>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tbl>
            <w:tblPr>
              <w:tblStyle w:val="20"/>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6690"/>
            </w:tblGrid>
            <w:tr w14:paraId="0D99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7" w:type="dxa"/>
                  <w:vAlign w:val="center"/>
                </w:tcPr>
                <w:p w14:paraId="50CF5F1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资格审查要求概况</w:t>
                  </w:r>
                </w:p>
              </w:tc>
              <w:tc>
                <w:tcPr>
                  <w:tcW w:w="6690" w:type="dxa"/>
                  <w:vAlign w:val="center"/>
                </w:tcPr>
                <w:p w14:paraId="1D29D704">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6577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7" w:type="dxa"/>
                  <w:vAlign w:val="center"/>
                </w:tcPr>
                <w:p w14:paraId="61568217">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sz w:val="24"/>
                      <w:szCs w:val="24"/>
                      <w:highlight w:val="none"/>
                    </w:rPr>
                    <w:t>资格承诺函</w:t>
                  </w:r>
                </w:p>
              </w:tc>
              <w:tc>
                <w:tcPr>
                  <w:tcW w:w="6690" w:type="dxa"/>
                  <w:vAlign w:val="top"/>
                </w:tcPr>
                <w:p w14:paraId="7C4EC644">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sz w:val="24"/>
                      <w:szCs w:val="24"/>
                      <w:highlight w:val="none"/>
                    </w:rPr>
                    <w:t>根据《福建省财政厅关于印发推行政府采购供应商资格承诺制指导意见的通知》闽财购〔2024〕6号的规定，依法在福建省参与政府采购活动的供应商，提供《政府采购供应商资格承诺函》（以下简称《承诺函》，格式详见第五章首次响应文件格式）的，在响应文件中可不提供《中华人民共和国政府采购法实施条例》第十七条第一款规定的资格条件证明材料【资格条件证明材料指：营业执照等证明文件、财务状况报告（财务报告、或资信证明）、依法缴纳税收证明材料、依法缴纳社会保障资金证明材料、具备履行合同所必需设备和专业技术能力的声明函、参加采购活动前三年内在经营活动中没有重大违法记录的声明】。 说明：①供应商可自行选择是否提供本承诺函，若不提供本承诺函的，应按竞争性</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文件要求提供相应的证明材料。②供应商应对其承诺内容的真实性、合法性、有效性负责。③供应商应当遵循诚实守信的原则，不得作出虚假承诺，承诺不实的，属于提供虚假材料谋取中标、成交，依法追究相关的法律责任。</w:t>
                  </w:r>
                </w:p>
              </w:tc>
            </w:tr>
            <w:tr w14:paraId="6951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7" w:type="dxa"/>
                  <w:shd w:val="clear" w:color="auto" w:fill="auto"/>
                  <w:vAlign w:val="center"/>
                </w:tcPr>
                <w:p w14:paraId="54F7DF5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lang w:val="en-US" w:eastAsia="zh-Hans" w:bidi="ar-SA"/>
                    </w:rPr>
                  </w:pPr>
                  <w:r>
                    <w:rPr>
                      <w:rFonts w:hint="eastAsia" w:asciiTheme="minorEastAsia" w:hAnsiTheme="minorEastAsia" w:eastAsiaTheme="minorEastAsia" w:cstheme="minorEastAsia"/>
                      <w:color w:val="auto"/>
                      <w:sz w:val="24"/>
                      <w:szCs w:val="24"/>
                      <w:highlight w:val="none"/>
                    </w:rPr>
                    <w:t>本采购包属于专门面向中小企业采购。</w:t>
                  </w:r>
                </w:p>
              </w:tc>
              <w:tc>
                <w:tcPr>
                  <w:tcW w:w="6690" w:type="dxa"/>
                  <w:shd w:val="clear" w:color="auto" w:fill="auto"/>
                  <w:vAlign w:val="top"/>
                </w:tcPr>
                <w:p w14:paraId="7982B9C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本</w:t>
                  </w:r>
                  <w:r>
                    <w:rPr>
                      <w:rFonts w:hint="eastAsia" w:asciiTheme="minorEastAsia" w:hAnsiTheme="minorEastAsia" w:eastAsiaTheme="minorEastAsia" w:cstheme="minorEastAsia"/>
                      <w:color w:val="auto"/>
                      <w:sz w:val="24"/>
                      <w:szCs w:val="24"/>
                      <w:highlight w:val="none"/>
                      <w:lang w:val="en-US" w:eastAsia="zh-CN"/>
                    </w:rPr>
                    <w:t>项目</w:t>
                  </w:r>
                  <w:r>
                    <w:rPr>
                      <w:rFonts w:hint="eastAsia" w:asciiTheme="minorEastAsia" w:hAnsiTheme="minorEastAsia" w:eastAsiaTheme="minorEastAsia" w:cstheme="minorEastAsia"/>
                      <w:color w:val="auto"/>
                      <w:sz w:val="24"/>
                      <w:szCs w:val="24"/>
                      <w:highlight w:val="none"/>
                    </w:rPr>
                    <w:t>专门面向中、小、微企业采购，供应商应按以下要求提供相关证明材料：①依据财政部、工信部文件（财库〔2020〕46号）规定，供应商应认真对照《工业和信息化部、国家统计局、国家发展和改革委员会、财政部关于印发中小企业划型标准规定的通知》（工信部联企业〔2011〕300号）规定的划分标准，并按照《国家统计局关于印发&lt;统计上大中小微型企业划分办法(2017)&gt;的通知》（国统字〔2017〕213号）规定的中小企业划分标准准确划分企业类型，由供应商出具《中小企业声明函》（服务类）。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本采购包为服务类采购包，所属行业：</w:t>
                  </w:r>
                  <w:r>
                    <w:rPr>
                      <w:rFonts w:hint="eastAsia" w:asciiTheme="minorEastAsia" w:hAnsiTheme="minorEastAsia" w:eastAsiaTheme="minorEastAsia" w:cstheme="minorEastAsia"/>
                      <w:b w:val="0"/>
                      <w:bCs w:val="0"/>
                      <w:color w:val="auto"/>
                      <w:sz w:val="24"/>
                      <w:szCs w:val="24"/>
                      <w:highlight w:val="none"/>
                    </w:rPr>
                    <w:t>软件与信息技术服务业</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若为联合体投标，联合体各方须均为中小企业，均须提供相应的中小企业声明函。</w:t>
                  </w:r>
                </w:p>
              </w:tc>
            </w:tr>
            <w:tr w14:paraId="7951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7" w:type="dxa"/>
                  <w:shd w:val="clear" w:color="auto" w:fill="auto"/>
                  <w:vAlign w:val="center"/>
                </w:tcPr>
                <w:p w14:paraId="75A6C4D1">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sz w:val="24"/>
                      <w:szCs w:val="24"/>
                      <w:highlight w:val="none"/>
                      <w:lang w:eastAsia="zh-CN"/>
                    </w:rPr>
                    <w:t>其他资格证明材料</w:t>
                  </w:r>
                  <w:r>
                    <w:rPr>
                      <w:rFonts w:hint="eastAsia" w:asciiTheme="minorEastAsia" w:hAnsiTheme="minorEastAsia" w:eastAsiaTheme="minorEastAsia" w:cstheme="minorEastAsia"/>
                      <w:b w:val="0"/>
                      <w:bCs w:val="0"/>
                      <w:color w:val="auto"/>
                      <w:sz w:val="24"/>
                      <w:szCs w:val="24"/>
                      <w:highlight w:val="none"/>
                      <w:lang w:val="en-US" w:eastAsia="zh-CN"/>
                    </w:rPr>
                    <w:t>1</w:t>
                  </w:r>
                </w:p>
              </w:tc>
              <w:tc>
                <w:tcPr>
                  <w:tcW w:w="6690" w:type="dxa"/>
                  <w:shd w:val="clear" w:color="auto" w:fill="auto"/>
                  <w:vAlign w:val="center"/>
                </w:tcPr>
                <w:p w14:paraId="6BAD636D">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rPr>
                    <w:t>联合体资质应覆盖项目安全测评、密码测评</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项内容，联合体牵头方</w:t>
                  </w:r>
                  <w:r>
                    <w:rPr>
                      <w:rFonts w:hint="eastAsia" w:asciiTheme="minorEastAsia" w:hAnsiTheme="minorEastAsia" w:eastAsiaTheme="minorEastAsia" w:cstheme="minorEastAsia"/>
                      <w:b w:val="0"/>
                      <w:bCs w:val="0"/>
                      <w:color w:val="auto"/>
                      <w:sz w:val="24"/>
                      <w:szCs w:val="24"/>
                      <w:highlight w:val="none"/>
                      <w:lang w:val="en-US" w:eastAsia="zh-CN"/>
                    </w:rPr>
                    <w:t>须</w:t>
                  </w:r>
                  <w:r>
                    <w:rPr>
                      <w:rFonts w:hint="eastAsia" w:asciiTheme="minorEastAsia" w:hAnsiTheme="minorEastAsia" w:eastAsiaTheme="minorEastAsia" w:cstheme="minorEastAsia"/>
                      <w:b w:val="0"/>
                      <w:bCs w:val="0"/>
                      <w:color w:val="auto"/>
                      <w:sz w:val="24"/>
                      <w:szCs w:val="24"/>
                      <w:highlight w:val="none"/>
                    </w:rPr>
                    <w:t>具备</w:t>
                  </w:r>
                  <w:r>
                    <w:rPr>
                      <w:rFonts w:hint="eastAsia" w:asciiTheme="minorEastAsia" w:hAnsiTheme="minorEastAsia" w:eastAsiaTheme="minorEastAsia" w:cstheme="minorEastAsia"/>
                      <w:b w:val="0"/>
                      <w:bCs w:val="0"/>
                      <w:color w:val="auto"/>
                      <w:sz w:val="24"/>
                      <w:szCs w:val="24"/>
                      <w:highlight w:val="none"/>
                      <w:lang w:val="en-US" w:eastAsia="zh-CN"/>
                    </w:rPr>
                    <w:t>其中至少任意一项</w:t>
                  </w:r>
                  <w:r>
                    <w:rPr>
                      <w:rFonts w:hint="eastAsia" w:asciiTheme="minorEastAsia" w:hAnsiTheme="minorEastAsia" w:eastAsiaTheme="minorEastAsia" w:cstheme="minorEastAsia"/>
                      <w:b w:val="0"/>
                      <w:bCs w:val="0"/>
                      <w:color w:val="auto"/>
                      <w:sz w:val="24"/>
                      <w:szCs w:val="24"/>
                      <w:highlight w:val="none"/>
                    </w:rPr>
                    <w:t>资质，联合体成员不得超过</w:t>
                  </w:r>
                  <w:r>
                    <w:rPr>
                      <w:rFonts w:hint="eastAsia" w:asciiTheme="minorEastAsia" w:hAnsiTheme="minorEastAsia" w:eastAsia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rPr>
                    <w:t>家</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含联合体牵头方</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eastAsiaTheme="minorEastAsia" w:cstheme="minorEastAsia"/>
                      <w:b w:val="0"/>
                      <w:bCs w:val="0"/>
                      <w:color w:val="auto"/>
                      <w:sz w:val="24"/>
                      <w:szCs w:val="24"/>
                      <w:highlight w:val="none"/>
                      <w:lang w:val="en-US" w:eastAsia="zh-CN"/>
                    </w:rPr>
                    <w:t>，须提供相关证明材料复印件并加盖公章。其中：</w:t>
                  </w:r>
                </w:p>
                <w:p w14:paraId="5B4D5879">
                  <w:pPr>
                    <w:keepNext w:val="0"/>
                    <w:keepLines w:val="0"/>
                    <w:pageBreakBefore w:val="0"/>
                    <w:widowControl w:val="0"/>
                    <w:numPr>
                      <w:ilvl w:val="-1"/>
                      <w:numId w:val="0"/>
                    </w:numPr>
                    <w:kinsoku/>
                    <w:wordWrap/>
                    <w:overflowPunct/>
                    <w:topLinePunct w:val="0"/>
                    <w:autoSpaceDE/>
                    <w:autoSpaceDN/>
                    <w:bidi w:val="0"/>
                    <w:adjustRightInd/>
                    <w:snapToGrid/>
                    <w:spacing w:after="0" w:line="440" w:lineRule="exact"/>
                    <w:ind w:left="0"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1.网络安全等级保护测评：具备</w:t>
                  </w:r>
                  <w:r>
                    <w:rPr>
                      <w:rFonts w:hint="eastAsia" w:asciiTheme="minorEastAsia" w:hAnsiTheme="minorEastAsia" w:eastAsiaTheme="minorEastAsia" w:cstheme="minorEastAsia"/>
                      <w:b w:val="0"/>
                      <w:bCs w:val="0"/>
                      <w:color w:val="auto"/>
                      <w:kern w:val="0"/>
                      <w:sz w:val="24"/>
                      <w:szCs w:val="24"/>
                      <w:highlight w:val="none"/>
                      <w:shd w:val="clear" w:color="auto" w:fill="FFFFFF"/>
                    </w:rPr>
                    <w:t>公安部第三研究所颁发</w:t>
                  </w:r>
                  <w:r>
                    <w:rPr>
                      <w:rFonts w:hint="eastAsia" w:asciiTheme="minorEastAsia" w:hAnsiTheme="minorEastAsia" w:eastAsiaTheme="minorEastAsia" w:cstheme="minorEastAsia"/>
                      <w:b w:val="0"/>
                      <w:bCs w:val="0"/>
                      <w:color w:val="auto"/>
                      <w:sz w:val="24"/>
                      <w:szCs w:val="24"/>
                      <w:highlight w:val="none"/>
                      <w:lang w:val="en-US" w:eastAsia="zh-CN"/>
                    </w:rPr>
                    <w:t>的网络安全等级测评与检测评估机构服务认证证书</w:t>
                  </w:r>
                  <w:r>
                    <w:rPr>
                      <w:rFonts w:hint="eastAsia" w:asciiTheme="minorEastAsia" w:hAnsiTheme="minorEastAsia" w:eastAsiaTheme="minorEastAsia" w:cstheme="minorEastAsia"/>
                      <w:color w:val="auto"/>
                      <w:sz w:val="24"/>
                      <w:szCs w:val="24"/>
                      <w:highlight w:val="none"/>
                      <w:lang w:val="en-US" w:eastAsia="zh-CN"/>
                    </w:rPr>
                    <w:t>复印件</w:t>
                  </w:r>
                  <w:r>
                    <w:rPr>
                      <w:rFonts w:hint="eastAsia" w:asciiTheme="minorEastAsia" w:hAnsiTheme="minorEastAsia" w:eastAsiaTheme="minorEastAsia" w:cstheme="minorEastAsia"/>
                      <w:b w:val="0"/>
                      <w:bCs w:val="0"/>
                      <w:color w:val="auto"/>
                      <w:sz w:val="24"/>
                      <w:szCs w:val="24"/>
                      <w:highlight w:val="none"/>
                      <w:lang w:val="en-US" w:eastAsia="zh-CN"/>
                    </w:rPr>
                    <w:t>；</w:t>
                  </w:r>
                </w:p>
                <w:p w14:paraId="2B2B95DF">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2.商用密码应用安全性评估：具备国家密码管理局颁发的商用密码应用安全性评估机构资质证书</w:t>
                  </w:r>
                  <w:r>
                    <w:rPr>
                      <w:rFonts w:hint="eastAsia" w:asciiTheme="minorEastAsia" w:hAnsiTheme="minorEastAsia" w:eastAsiaTheme="minorEastAsia" w:cstheme="minorEastAsia"/>
                      <w:color w:val="auto"/>
                      <w:sz w:val="24"/>
                      <w:szCs w:val="24"/>
                      <w:highlight w:val="none"/>
                      <w:lang w:val="en-US" w:eastAsia="zh-CN"/>
                    </w:rPr>
                    <w:t>复印件</w:t>
                  </w:r>
                  <w:r>
                    <w:rPr>
                      <w:rFonts w:hint="eastAsia" w:asciiTheme="minorEastAsia" w:hAnsiTheme="minorEastAsia" w:eastAsiaTheme="minorEastAsia" w:cstheme="minorEastAsia"/>
                      <w:b w:val="0"/>
                      <w:bCs w:val="0"/>
                      <w:color w:val="auto"/>
                      <w:sz w:val="24"/>
                      <w:szCs w:val="24"/>
                      <w:highlight w:val="none"/>
                      <w:lang w:val="en-US" w:eastAsia="zh-CN"/>
                    </w:rPr>
                    <w:t>。</w:t>
                  </w:r>
                </w:p>
              </w:tc>
            </w:tr>
            <w:tr w14:paraId="26EE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7" w:type="dxa"/>
                  <w:shd w:val="clear" w:color="auto" w:fill="auto"/>
                  <w:vAlign w:val="center"/>
                </w:tcPr>
                <w:p w14:paraId="0A1FD7A9">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其他资格证明材料</w:t>
                  </w:r>
                  <w:r>
                    <w:rPr>
                      <w:rFonts w:hint="eastAsia" w:asciiTheme="minorEastAsia" w:hAnsiTheme="minorEastAsia" w:eastAsiaTheme="minorEastAsia" w:cstheme="minorEastAsia"/>
                      <w:b w:val="0"/>
                      <w:bCs w:val="0"/>
                      <w:color w:val="auto"/>
                      <w:sz w:val="24"/>
                      <w:szCs w:val="24"/>
                      <w:highlight w:val="none"/>
                      <w:lang w:val="en-US" w:eastAsia="zh-CN"/>
                    </w:rPr>
                    <w:t>2</w:t>
                  </w:r>
                </w:p>
              </w:tc>
              <w:tc>
                <w:tcPr>
                  <w:tcW w:w="6690" w:type="dxa"/>
                  <w:shd w:val="clear" w:color="auto" w:fill="auto"/>
                  <w:vAlign w:val="center"/>
                </w:tcPr>
                <w:p w14:paraId="638A089F">
                  <w:pPr>
                    <w:keepNext w:val="0"/>
                    <w:keepLines w:val="0"/>
                    <w:pageBreakBefore w:val="0"/>
                    <w:widowControl w:val="0"/>
                    <w:numPr>
                      <w:ilvl w:val="-1"/>
                      <w:numId w:val="0"/>
                    </w:numPr>
                    <w:kinsoku/>
                    <w:wordWrap/>
                    <w:overflowPunct/>
                    <w:topLinePunct w:val="0"/>
                    <w:autoSpaceDE/>
                    <w:autoSpaceDN/>
                    <w:bidi w:val="0"/>
                    <w:adjustRightInd/>
                    <w:snapToGrid/>
                    <w:spacing w:line="440" w:lineRule="exact"/>
                    <w:ind w:firstLine="0" w:firstLineChars="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自2022年1月1日（日期以合同签订时间为准）至首次响应文件递交截止时间止，由供应商（牵头方）已完成的1份同类项目业绩。业绩内容须包含系统测试、安全测评、密码测评三项中的任意两项或以上（若业绩仅包含上述三项内容中的任意一项，则供应商须提交两份业绩，且业绩包含系统测试、安全测评、密码测评三项中的任意两项即可。）须提供合同关键页和已由业主单位验收合格的证明材料（须加盖业主公章，清晰体现项目名称、验收结论）复印件。</w:t>
                  </w:r>
                </w:p>
              </w:tc>
            </w:tr>
          </w:tbl>
          <w:p w14:paraId="66EF58CB">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（3）谈判保证金</w:t>
            </w:r>
          </w:p>
          <w:p w14:paraId="40D9878E">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※备注说明</w:t>
            </w:r>
          </w:p>
          <w:p w14:paraId="165B5D5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①供应商应根据自身实际情况提供上述资格要求的证明材料，格式可参考谈判文件第五章提供。</w:t>
            </w:r>
          </w:p>
          <w:p w14:paraId="26D8692D">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②供应商提供的相应证明材料复印件均应符合：内容完整、清晰、整洁，并由供应商加盖其单位公章。</w:t>
            </w:r>
          </w:p>
        </w:tc>
      </w:tr>
      <w:tr w14:paraId="72C9D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1F276DB2">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p>
        </w:tc>
        <w:tc>
          <w:tcPr>
            <w:tcW w:w="936" w:type="dxa"/>
            <w:vAlign w:val="center"/>
          </w:tcPr>
          <w:p w14:paraId="520EA8A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3.2.2</w:t>
            </w:r>
          </w:p>
        </w:tc>
        <w:tc>
          <w:tcPr>
            <w:tcW w:w="8107" w:type="dxa"/>
            <w:vAlign w:val="center"/>
          </w:tcPr>
          <w:p w14:paraId="3EB5E1E0">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是否接受联合体形式的响应谈判：详见第一章供应商的资格要求的</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.3</w:t>
            </w:r>
          </w:p>
        </w:tc>
      </w:tr>
      <w:tr w14:paraId="6F282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66CC67EE">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w:t>
            </w:r>
          </w:p>
        </w:tc>
        <w:tc>
          <w:tcPr>
            <w:tcW w:w="936" w:type="dxa"/>
            <w:vAlign w:val="center"/>
          </w:tcPr>
          <w:p w14:paraId="52AAB6F4">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9.1</w:t>
            </w:r>
          </w:p>
        </w:tc>
        <w:tc>
          <w:tcPr>
            <w:tcW w:w="8107" w:type="dxa"/>
            <w:vAlign w:val="center"/>
          </w:tcPr>
          <w:p w14:paraId="283ADF16">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响应文件有效期：首次响应文件提交截止时间起90个日历日。</w:t>
            </w:r>
          </w:p>
        </w:tc>
      </w:tr>
      <w:tr w14:paraId="6A307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162F1EBD">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w:t>
            </w:r>
          </w:p>
        </w:tc>
        <w:tc>
          <w:tcPr>
            <w:tcW w:w="936" w:type="dxa"/>
            <w:vAlign w:val="center"/>
          </w:tcPr>
          <w:p w14:paraId="2081ED8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10.1</w:t>
            </w:r>
          </w:p>
        </w:tc>
        <w:tc>
          <w:tcPr>
            <w:tcW w:w="8107" w:type="dxa"/>
            <w:vAlign w:val="center"/>
          </w:tcPr>
          <w:p w14:paraId="0E1B2562">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提交谈判保证金：</w:t>
            </w:r>
          </w:p>
          <w:p w14:paraId="755B2345">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本项目的谈判保证金详见《采购标的一览表》，数额不得超过采购项目预算金额的2%，供应商必须从本单位的基本账户以转账支票、电汇、网上银行等方式（现金、个人网上银行除外），在提交响应文件截止时间前向福建省卓诚招投标代理有限责任公司缴交谈判文件要求的谈判保证金并到账（是否到达指定的存款账户，以谈判文件中福建省卓诚招投标代理有限责任公司账号为准），供应商在缴纳保证金时须在汇款用途或摘要栏上注明所投项目的项目编号。</w:t>
            </w:r>
          </w:p>
          <w:p w14:paraId="0E2777E0">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其他：（1）供应商未按照谈判文件要求提交谈判保证金的，响应无效。 (2）供应商的谈判保证金未在提交响应文件截止时间前到达指定账户的，响应无效。 (3）谈判保证金未以供应商名义提交的，响应无效。（本文件中的谈判保证金说明以此为准。）</w:t>
            </w:r>
          </w:p>
        </w:tc>
      </w:tr>
      <w:tr w14:paraId="5BE77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7A46BC4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w:t>
            </w:r>
          </w:p>
        </w:tc>
        <w:tc>
          <w:tcPr>
            <w:tcW w:w="936" w:type="dxa"/>
            <w:vAlign w:val="center"/>
          </w:tcPr>
          <w:p w14:paraId="16EB66DB">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10.3.1</w:t>
            </w:r>
          </w:p>
        </w:tc>
        <w:tc>
          <w:tcPr>
            <w:tcW w:w="8107" w:type="dxa"/>
            <w:vAlign w:val="center"/>
          </w:tcPr>
          <w:p w14:paraId="302BA37D">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谈判保证金退还的其它要求：</w:t>
            </w:r>
            <w:r>
              <w:rPr>
                <w:rFonts w:hint="eastAsia" w:asciiTheme="minorEastAsia" w:hAnsiTheme="minorEastAsia" w:eastAsiaTheme="minorEastAsia" w:cstheme="minorEastAsia"/>
                <w:bCs/>
                <w:color w:val="auto"/>
                <w:sz w:val="24"/>
                <w:szCs w:val="24"/>
                <w:highlight w:val="none"/>
                <w:lang w:eastAsia="zh-CN"/>
              </w:rPr>
              <w:t>/</w:t>
            </w:r>
          </w:p>
        </w:tc>
      </w:tr>
      <w:tr w14:paraId="657FA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35592A51">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w:t>
            </w:r>
          </w:p>
        </w:tc>
        <w:tc>
          <w:tcPr>
            <w:tcW w:w="936" w:type="dxa"/>
            <w:vAlign w:val="center"/>
          </w:tcPr>
          <w:p w14:paraId="5291D0EC">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11.1</w:t>
            </w:r>
          </w:p>
        </w:tc>
        <w:tc>
          <w:tcPr>
            <w:tcW w:w="8107" w:type="dxa"/>
            <w:vAlign w:val="center"/>
          </w:tcPr>
          <w:p w14:paraId="4D6B3C5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响应文件的份数</w:t>
            </w:r>
          </w:p>
          <w:p w14:paraId="4417CAEC">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（1）响应文件</w:t>
            </w:r>
          </w:p>
          <w:p w14:paraId="7CDF88D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①响应文件正本</w:t>
            </w:r>
            <w:r>
              <w:rPr>
                <w:rFonts w:hint="eastAsia" w:asciiTheme="minorEastAsia" w:hAnsiTheme="minorEastAsia" w:eastAsiaTheme="minorEastAsia" w:cstheme="minorEastAsia"/>
                <w:bCs/>
                <w:color w:val="auto"/>
                <w:sz w:val="24"/>
                <w:szCs w:val="24"/>
                <w:highlight w:val="none"/>
                <w:lang w:eastAsia="zh-CN"/>
              </w:rPr>
              <w:t>1</w:t>
            </w:r>
            <w:r>
              <w:rPr>
                <w:rFonts w:hint="eastAsia" w:asciiTheme="minorEastAsia" w:hAnsiTheme="minorEastAsia" w:eastAsiaTheme="minorEastAsia" w:cstheme="minorEastAsia"/>
                <w:bCs/>
                <w:color w:val="auto"/>
                <w:sz w:val="24"/>
                <w:szCs w:val="24"/>
                <w:highlight w:val="none"/>
              </w:rPr>
              <w:t>份、副本</w:t>
            </w:r>
            <w:r>
              <w:rPr>
                <w:rFonts w:hint="eastAsia" w:asciiTheme="minorEastAsia" w:hAnsiTheme="minorEastAsia" w:eastAsiaTheme="minorEastAsia" w:cstheme="minorEastAsia"/>
                <w:bCs/>
                <w:color w:val="auto"/>
                <w:sz w:val="24"/>
                <w:szCs w:val="24"/>
                <w:highlight w:val="none"/>
                <w:lang w:eastAsia="zh-CN"/>
              </w:rPr>
              <w:t>3</w:t>
            </w:r>
            <w:r>
              <w:rPr>
                <w:rFonts w:hint="eastAsia" w:asciiTheme="minorEastAsia" w:hAnsiTheme="minorEastAsia" w:eastAsiaTheme="minorEastAsia" w:cstheme="minorEastAsia"/>
                <w:bCs/>
                <w:color w:val="auto"/>
                <w:sz w:val="24"/>
                <w:szCs w:val="24"/>
                <w:highlight w:val="none"/>
              </w:rPr>
              <w:t>份。</w:t>
            </w:r>
          </w:p>
          <w:p w14:paraId="3EF1310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②可读介质（光盘或U盘）1份。</w:t>
            </w:r>
          </w:p>
        </w:tc>
      </w:tr>
      <w:tr w14:paraId="305AB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74F89CDD">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w:t>
            </w:r>
          </w:p>
        </w:tc>
        <w:tc>
          <w:tcPr>
            <w:tcW w:w="936" w:type="dxa"/>
            <w:vAlign w:val="center"/>
          </w:tcPr>
          <w:p w14:paraId="35AE0550">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14.4</w:t>
            </w:r>
          </w:p>
        </w:tc>
        <w:tc>
          <w:tcPr>
            <w:tcW w:w="8107" w:type="dxa"/>
            <w:vAlign w:val="center"/>
          </w:tcPr>
          <w:p w14:paraId="32B09D4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谈判过程中可能发生实质性变动的内容：无</w:t>
            </w:r>
          </w:p>
        </w:tc>
      </w:tr>
      <w:tr w14:paraId="341C3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1F3433D6">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rPr>
              <w:t>8</w:t>
            </w:r>
          </w:p>
        </w:tc>
        <w:tc>
          <w:tcPr>
            <w:tcW w:w="936" w:type="dxa"/>
            <w:vAlign w:val="center"/>
          </w:tcPr>
          <w:p w14:paraId="2D0EA90D">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rPr>
              <w:t>22.2</w:t>
            </w:r>
          </w:p>
        </w:tc>
        <w:tc>
          <w:tcPr>
            <w:tcW w:w="8107" w:type="dxa"/>
            <w:vAlign w:val="center"/>
          </w:tcPr>
          <w:p w14:paraId="10E0ECF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rPr>
              <w:t>信息公告指定媒体（以下简称：“指定媒体”）：</w:t>
            </w:r>
          </w:p>
          <w:p w14:paraId="2F3F33B1">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lang w:eastAsia="zh-CN"/>
              </w:rPr>
            </w:pP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rPr>
              <w:t>1</w:t>
            </w:r>
            <w:r>
              <w:rPr>
                <w:rFonts w:hint="eastAsia" w:asciiTheme="minorEastAsia" w:hAnsiTheme="minorEastAsia" w:eastAsiaTheme="minorEastAsia" w:cstheme="minorEastAsia"/>
                <w:bCs/>
                <w:color w:val="auto"/>
                <w:sz w:val="24"/>
                <w:szCs w:val="24"/>
                <w:highlight w:val="none"/>
                <w:u w:val="none"/>
                <w:lang w:eastAsia="zh-CN"/>
              </w:rPr>
              <w:t>）福建省国资采购平台，</w:t>
            </w:r>
            <w:r>
              <w:rPr>
                <w:rFonts w:hint="eastAsia" w:asciiTheme="minorEastAsia" w:hAnsiTheme="minorEastAsia" w:eastAsiaTheme="minorEastAsia" w:cstheme="minorEastAsia"/>
                <w:bCs/>
                <w:color w:val="auto"/>
                <w:sz w:val="24"/>
                <w:szCs w:val="24"/>
                <w:highlight w:val="none"/>
                <w:u w:val="none"/>
                <w:lang w:val="en-US" w:eastAsia="zh-CN"/>
              </w:rPr>
              <w:t>网址</w:t>
            </w:r>
            <w:r>
              <w:rPr>
                <w:rFonts w:hint="eastAsia" w:asciiTheme="minorEastAsia" w:hAnsiTheme="minorEastAsia" w:eastAsiaTheme="minorEastAsia" w:cstheme="minorEastAsia"/>
                <w:bCs/>
                <w:color w:val="auto"/>
                <w:sz w:val="24"/>
                <w:szCs w:val="24"/>
                <w:highlight w:val="none"/>
                <w:u w:val="none"/>
                <w:lang w:eastAsia="zh-CN"/>
              </w:rPr>
              <w:t>https://ygcg.fjcqjy.com；</w:t>
            </w:r>
          </w:p>
          <w:p w14:paraId="12A9D83E">
            <w:pPr>
              <w:pStyle w:val="31"/>
              <w:keepNext w:val="0"/>
              <w:keepLines w:val="0"/>
              <w:pageBreakBefore w:val="0"/>
              <w:widowControl w:val="0"/>
              <w:numPr>
                <w:ilvl w:val="0"/>
                <w:numId w:val="0"/>
              </w:numPr>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lang w:val="en-US" w:eastAsia="zh-CN"/>
              </w:rPr>
              <w:t>2</w:t>
            </w:r>
            <w:r>
              <w:rPr>
                <w:rFonts w:hint="eastAsia" w:asciiTheme="minorEastAsia" w:hAnsiTheme="minorEastAsia" w:eastAsiaTheme="minorEastAsia" w:cstheme="minorEastAsia"/>
                <w:bCs/>
                <w:color w:val="auto"/>
                <w:sz w:val="24"/>
                <w:szCs w:val="24"/>
                <w:highlight w:val="none"/>
                <w:u w:val="none"/>
                <w:lang w:eastAsia="zh-CN"/>
              </w:rPr>
              <w:t>）工采通电子招投标交易平台，网址</w:t>
            </w:r>
            <w:r>
              <w:rPr>
                <w:rFonts w:hint="eastAsia" w:asciiTheme="minorEastAsia" w:hAnsiTheme="minorEastAsia" w:eastAsiaTheme="minorEastAsia" w:cstheme="minorEastAsia"/>
                <w:bCs/>
                <w:color w:val="auto"/>
                <w:sz w:val="24"/>
                <w:szCs w:val="24"/>
                <w:highlight w:val="none"/>
                <w:u w:val="none"/>
                <w:lang w:eastAsia="zh-CN"/>
              </w:rPr>
              <w:fldChar w:fldCharType="begin"/>
            </w:r>
            <w:r>
              <w:rPr>
                <w:rFonts w:hint="eastAsia" w:asciiTheme="minorEastAsia" w:hAnsiTheme="minorEastAsia" w:eastAsiaTheme="minorEastAsia" w:cstheme="minorEastAsia"/>
                <w:bCs/>
                <w:color w:val="auto"/>
                <w:sz w:val="24"/>
                <w:szCs w:val="24"/>
                <w:highlight w:val="none"/>
                <w:u w:val="none"/>
                <w:lang w:eastAsia="zh-CN"/>
              </w:rPr>
              <w:instrText xml:space="preserve"> HYPERLINK "http://www.easy-prt.com。" </w:instrText>
            </w:r>
            <w:r>
              <w:rPr>
                <w:rFonts w:hint="eastAsia" w:asciiTheme="minorEastAsia" w:hAnsiTheme="minorEastAsia" w:eastAsiaTheme="minorEastAsia" w:cstheme="minorEastAsia"/>
                <w:bCs/>
                <w:color w:val="auto"/>
                <w:sz w:val="24"/>
                <w:szCs w:val="24"/>
                <w:highlight w:val="none"/>
                <w:u w:val="none"/>
                <w:lang w:eastAsia="zh-CN"/>
              </w:rPr>
              <w:fldChar w:fldCharType="separate"/>
            </w:r>
            <w:r>
              <w:rPr>
                <w:rStyle w:val="24"/>
                <w:rFonts w:hint="eastAsia" w:asciiTheme="minorEastAsia" w:hAnsiTheme="minorEastAsia" w:eastAsiaTheme="minorEastAsia" w:cstheme="minorEastAsia"/>
                <w:bCs/>
                <w:color w:val="auto"/>
                <w:sz w:val="24"/>
                <w:szCs w:val="24"/>
                <w:highlight w:val="none"/>
                <w:u w:val="none"/>
                <w:lang w:eastAsia="zh-CN"/>
              </w:rPr>
              <w:t>http://www.easy-prt.com；</w:t>
            </w:r>
            <w:r>
              <w:rPr>
                <w:rFonts w:hint="eastAsia" w:asciiTheme="minorEastAsia" w:hAnsiTheme="minorEastAsia" w:eastAsiaTheme="minorEastAsia" w:cstheme="minorEastAsia"/>
                <w:bCs/>
                <w:color w:val="auto"/>
                <w:sz w:val="24"/>
                <w:szCs w:val="24"/>
                <w:highlight w:val="none"/>
                <w:u w:val="none"/>
                <w:lang w:eastAsia="zh-CN"/>
              </w:rPr>
              <w:fldChar w:fldCharType="end"/>
            </w:r>
          </w:p>
          <w:p w14:paraId="3A9FFC82">
            <w:pPr>
              <w:pStyle w:val="31"/>
              <w:keepNext w:val="0"/>
              <w:keepLines w:val="0"/>
              <w:pageBreakBefore w:val="0"/>
              <w:widowControl w:val="0"/>
              <w:numPr>
                <w:ilvl w:val="-1"/>
                <w:numId w:val="0"/>
              </w:numPr>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lang w:val="en-US" w:eastAsia="zh-CN"/>
              </w:rPr>
            </w:pP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lang w:val="en-US" w:eastAsia="zh-CN"/>
              </w:rPr>
              <w:t>3</w:t>
            </w: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lang w:val="en-US" w:eastAsia="zh-CN"/>
              </w:rPr>
              <w:t>福建省建新医院，网址：http://jyj.sft.fujian.gov.cn/jsdw/jxyy/</w:t>
            </w:r>
          </w:p>
          <w:p w14:paraId="16884128">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u w:val="none"/>
              </w:rPr>
            </w:pP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lang w:val="en-US" w:eastAsia="zh-CN"/>
              </w:rPr>
              <w:t>4</w:t>
            </w: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rPr>
              <w:t>福建省卓诚招投标代理有限责任公司</w:t>
            </w:r>
            <w:r>
              <w:rPr>
                <w:rFonts w:hint="eastAsia" w:asciiTheme="minorEastAsia" w:hAnsiTheme="minorEastAsia" w:eastAsiaTheme="minorEastAsia" w:cstheme="minorEastAsia"/>
                <w:bCs/>
                <w:color w:val="auto"/>
                <w:sz w:val="24"/>
                <w:szCs w:val="24"/>
                <w:highlight w:val="none"/>
                <w:u w:val="none"/>
                <w:lang w:eastAsia="zh-CN"/>
              </w:rPr>
              <w:t>，</w:t>
            </w:r>
            <w:r>
              <w:rPr>
                <w:rFonts w:hint="eastAsia" w:asciiTheme="minorEastAsia" w:hAnsiTheme="minorEastAsia" w:eastAsiaTheme="minorEastAsia" w:cstheme="minorEastAsia"/>
                <w:bCs/>
                <w:color w:val="auto"/>
                <w:sz w:val="24"/>
                <w:szCs w:val="24"/>
                <w:highlight w:val="none"/>
                <w:u w:val="none"/>
              </w:rPr>
              <w:t>网址</w:t>
            </w:r>
            <w:r>
              <w:rPr>
                <w:rFonts w:hint="eastAsia" w:asciiTheme="minorEastAsia" w:hAnsiTheme="minorEastAsia" w:eastAsiaTheme="minorEastAsia" w:cstheme="minorEastAsia"/>
                <w:color w:val="auto"/>
                <w:sz w:val="24"/>
                <w:szCs w:val="24"/>
                <w:highlight w:val="none"/>
                <w:u w:val="none"/>
              </w:rPr>
              <w:fldChar w:fldCharType="begin"/>
            </w:r>
            <w:r>
              <w:rPr>
                <w:rFonts w:hint="eastAsia" w:asciiTheme="minorEastAsia" w:hAnsiTheme="minorEastAsia" w:eastAsiaTheme="minorEastAsia" w:cstheme="minorEastAsia"/>
                <w:color w:val="auto"/>
                <w:sz w:val="24"/>
                <w:szCs w:val="24"/>
                <w:highlight w:val="none"/>
                <w:u w:val="none"/>
              </w:rPr>
              <w:instrText xml:space="preserve"> HYPERLINK "http://www.fjzczb.com。" </w:instrText>
            </w:r>
            <w:r>
              <w:rPr>
                <w:rFonts w:hint="eastAsia" w:asciiTheme="minorEastAsia" w:hAnsiTheme="minorEastAsia" w:eastAsiaTheme="minorEastAsia" w:cstheme="minorEastAsia"/>
                <w:color w:val="auto"/>
                <w:sz w:val="24"/>
                <w:szCs w:val="24"/>
                <w:highlight w:val="none"/>
                <w:u w:val="none"/>
              </w:rPr>
              <w:fldChar w:fldCharType="separate"/>
            </w:r>
            <w:r>
              <w:rPr>
                <w:rFonts w:hint="eastAsia" w:asciiTheme="minorEastAsia" w:hAnsiTheme="minorEastAsia" w:eastAsiaTheme="minorEastAsia" w:cstheme="minorEastAsia"/>
                <w:bCs/>
                <w:color w:val="auto"/>
                <w:sz w:val="24"/>
                <w:szCs w:val="24"/>
                <w:highlight w:val="none"/>
                <w:u w:val="none"/>
              </w:rPr>
              <w:t>http://www.fjzczb.com。</w:t>
            </w:r>
            <w:r>
              <w:rPr>
                <w:rFonts w:hint="eastAsia" w:asciiTheme="minorEastAsia" w:hAnsiTheme="minorEastAsia" w:eastAsiaTheme="minorEastAsia" w:cstheme="minorEastAsia"/>
                <w:bCs/>
                <w:color w:val="auto"/>
                <w:sz w:val="24"/>
                <w:szCs w:val="24"/>
                <w:highlight w:val="none"/>
                <w:u w:val="none"/>
              </w:rPr>
              <w:fldChar w:fldCharType="end"/>
            </w:r>
          </w:p>
        </w:tc>
      </w:tr>
      <w:tr w14:paraId="2FA77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53E03D3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w:t>
            </w:r>
          </w:p>
        </w:tc>
        <w:tc>
          <w:tcPr>
            <w:tcW w:w="936" w:type="dxa"/>
            <w:vAlign w:val="center"/>
          </w:tcPr>
          <w:p w14:paraId="1C6487A6">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23.1</w:t>
            </w:r>
          </w:p>
        </w:tc>
        <w:tc>
          <w:tcPr>
            <w:tcW w:w="8107" w:type="dxa"/>
            <w:vAlign w:val="center"/>
          </w:tcPr>
          <w:p w14:paraId="3E240E00">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本项目监督管理部门：</w:t>
            </w:r>
            <w:r>
              <w:rPr>
                <w:rFonts w:hint="eastAsia" w:asciiTheme="minorEastAsia" w:hAnsiTheme="minorEastAsia" w:eastAsiaTheme="minorEastAsia" w:cstheme="minorEastAsia"/>
                <w:bCs/>
                <w:color w:val="auto"/>
                <w:sz w:val="24"/>
                <w:szCs w:val="24"/>
                <w:highlight w:val="none"/>
                <w:lang w:eastAsia="zh-CN"/>
              </w:rPr>
              <w:t>福建省建新医院</w:t>
            </w:r>
          </w:p>
        </w:tc>
      </w:tr>
      <w:tr w14:paraId="654F1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586EC8B0">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w:t>
            </w:r>
          </w:p>
        </w:tc>
        <w:tc>
          <w:tcPr>
            <w:tcW w:w="936" w:type="dxa"/>
            <w:vAlign w:val="center"/>
          </w:tcPr>
          <w:p w14:paraId="09E49802">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25</w:t>
            </w:r>
          </w:p>
        </w:tc>
        <w:tc>
          <w:tcPr>
            <w:tcW w:w="8107" w:type="dxa"/>
            <w:vAlign w:val="center"/>
          </w:tcPr>
          <w:p w14:paraId="0B48B280">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根据采购项目特点或政策需要补充的其他新增内容：</w:t>
            </w:r>
          </w:p>
          <w:p w14:paraId="629BC84B">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本项目代理服务费：本项目收取代理服务费</w:t>
            </w:r>
          </w:p>
          <w:p w14:paraId="7062C84E">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代理服务费用收取对象：成交供应商</w:t>
            </w:r>
          </w:p>
          <w:p w14:paraId="5BDEDDDC">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代理服务费收费标准：(1)以</w:t>
            </w:r>
            <w:r>
              <w:rPr>
                <w:rFonts w:hint="eastAsia" w:asciiTheme="minorEastAsia" w:hAnsiTheme="minorEastAsia" w:eastAsiaTheme="minorEastAsia" w:cstheme="minorEastAsia"/>
                <w:bCs/>
                <w:color w:val="auto"/>
                <w:sz w:val="24"/>
                <w:szCs w:val="24"/>
                <w:highlight w:val="none"/>
                <w:lang w:val="en-US" w:eastAsia="zh-CN"/>
              </w:rPr>
              <w:t>成交</w:t>
            </w:r>
            <w:r>
              <w:rPr>
                <w:rFonts w:hint="eastAsia" w:asciiTheme="minorEastAsia" w:hAnsiTheme="minorEastAsia" w:eastAsiaTheme="minorEastAsia" w:cstheme="minorEastAsia"/>
                <w:bCs/>
                <w:color w:val="auto"/>
                <w:sz w:val="24"/>
                <w:szCs w:val="24"/>
                <w:highlight w:val="none"/>
              </w:rPr>
              <w:t>金额为计算基数；(2)代理服务费收费实行累进法计算：</w:t>
            </w:r>
            <w:r>
              <w:rPr>
                <w:rFonts w:hint="eastAsia" w:asciiTheme="minorEastAsia" w:hAnsiTheme="minorEastAsia" w:eastAsiaTheme="minorEastAsia" w:cstheme="minorEastAsia"/>
                <w:bCs/>
                <w:color w:val="auto"/>
                <w:sz w:val="24"/>
                <w:szCs w:val="24"/>
                <w:highlight w:val="none"/>
                <w:lang w:val="en-US" w:eastAsia="zh-CN"/>
              </w:rPr>
              <w:t>成交</w:t>
            </w:r>
            <w:r>
              <w:rPr>
                <w:rFonts w:hint="eastAsia" w:asciiTheme="minorEastAsia" w:hAnsiTheme="minorEastAsia" w:eastAsiaTheme="minorEastAsia" w:cstheme="minorEastAsia"/>
                <w:bCs/>
                <w:color w:val="auto"/>
                <w:sz w:val="24"/>
                <w:szCs w:val="24"/>
                <w:highlight w:val="none"/>
              </w:rPr>
              <w:t>金额在50(万元)以下收费费率标准：1.0%；50(万元)-100(万元)收费费率标准：0.90%；(</w:t>
            </w:r>
            <w:r>
              <w:rPr>
                <w:rFonts w:hint="eastAsia" w:asciiTheme="minorEastAsia" w:hAnsiTheme="minorEastAsia" w:eastAsiaTheme="minorEastAsia" w:cstheme="minorEastAsia"/>
                <w:bCs/>
                <w:color w:val="auto"/>
                <w:sz w:val="24"/>
                <w:szCs w:val="24"/>
                <w:highlight w:val="none"/>
                <w:lang w:val="en-US" w:eastAsia="zh-CN"/>
              </w:rPr>
              <w:t>3</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成交供应商</w:t>
            </w:r>
            <w:r>
              <w:rPr>
                <w:rFonts w:hint="eastAsia" w:asciiTheme="minorEastAsia" w:hAnsiTheme="minorEastAsia" w:eastAsiaTheme="minorEastAsia" w:cstheme="minorEastAsia"/>
                <w:bCs/>
                <w:color w:val="auto"/>
                <w:sz w:val="24"/>
                <w:szCs w:val="24"/>
                <w:highlight w:val="none"/>
              </w:rPr>
              <w:t>应在领取</w:t>
            </w:r>
            <w:r>
              <w:rPr>
                <w:rFonts w:hint="eastAsia" w:asciiTheme="minorEastAsia" w:hAnsiTheme="minorEastAsia" w:eastAsiaTheme="minorEastAsia" w:cstheme="minorEastAsia"/>
                <w:bCs/>
                <w:color w:val="auto"/>
                <w:sz w:val="24"/>
                <w:szCs w:val="24"/>
                <w:highlight w:val="none"/>
                <w:lang w:eastAsia="zh-CN"/>
              </w:rPr>
              <w:t>成交</w:t>
            </w:r>
            <w:r>
              <w:rPr>
                <w:rFonts w:hint="eastAsia" w:asciiTheme="minorEastAsia" w:hAnsiTheme="minorEastAsia" w:eastAsiaTheme="minorEastAsia" w:cstheme="minorEastAsia"/>
                <w:bCs/>
                <w:color w:val="auto"/>
                <w:sz w:val="24"/>
                <w:szCs w:val="24"/>
                <w:highlight w:val="none"/>
              </w:rPr>
              <w:t>通知书</w:t>
            </w:r>
            <w:r>
              <w:rPr>
                <w:rFonts w:hint="eastAsia" w:asciiTheme="minorEastAsia" w:hAnsiTheme="minorEastAsia" w:eastAsiaTheme="minorEastAsia" w:cstheme="minorEastAsia"/>
                <w:bCs/>
                <w:color w:val="auto"/>
                <w:sz w:val="24"/>
                <w:szCs w:val="24"/>
                <w:highlight w:val="none"/>
                <w:lang w:eastAsia="zh-CN"/>
              </w:rPr>
              <w:t>的同时</w:t>
            </w:r>
            <w:r>
              <w:rPr>
                <w:rFonts w:hint="eastAsia" w:asciiTheme="minorEastAsia" w:hAnsiTheme="minorEastAsia" w:eastAsiaTheme="minorEastAsia" w:cstheme="minorEastAsia"/>
                <w:bCs/>
                <w:color w:val="auto"/>
                <w:sz w:val="24"/>
                <w:szCs w:val="24"/>
                <w:highlight w:val="none"/>
              </w:rPr>
              <w:t>以转账、电汇付款方式一次性向代理机构缴纳代理服务费。以下账户仅用于交纳代理服务费：开户名：福建省卓诚招投标代理有限责任公司； 开户行：中国建设银行股份有限公司福州福马支行； 账号：3505 0161 3900 0000 0320。</w:t>
            </w:r>
          </w:p>
          <w:p w14:paraId="46A41D43">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其他：</w:t>
            </w:r>
            <w:r>
              <w:rPr>
                <w:rFonts w:hint="eastAsia" w:asciiTheme="minorEastAsia" w:hAnsiTheme="minorEastAsia" w:eastAsiaTheme="minorEastAsia" w:cstheme="minorEastAsia"/>
                <w:bCs/>
                <w:color w:val="auto"/>
                <w:sz w:val="24"/>
                <w:szCs w:val="24"/>
                <w:highlight w:val="none"/>
                <w:lang w:eastAsia="zh-CN"/>
              </w:rPr>
              <w:t>无</w:t>
            </w:r>
          </w:p>
        </w:tc>
      </w:tr>
      <w:tr w14:paraId="4750F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2460E80C">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w:t>
            </w:r>
          </w:p>
        </w:tc>
        <w:tc>
          <w:tcPr>
            <w:tcW w:w="936" w:type="dxa"/>
            <w:vAlign w:val="center"/>
          </w:tcPr>
          <w:p w14:paraId="24F60FBF">
            <w:pPr>
              <w:keepNext w:val="0"/>
              <w:keepLines w:val="0"/>
              <w:pageBreakBefore w:val="0"/>
              <w:widowControl w:val="0"/>
              <w:kinsoku/>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bCs/>
                <w:color w:val="auto"/>
                <w:sz w:val="24"/>
                <w:szCs w:val="24"/>
                <w:highlight w:val="none"/>
              </w:rPr>
            </w:pPr>
          </w:p>
        </w:tc>
        <w:tc>
          <w:tcPr>
            <w:tcW w:w="8107" w:type="dxa"/>
            <w:vAlign w:val="center"/>
          </w:tcPr>
          <w:p w14:paraId="2DA1BD1A">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是否组织现场考察或召开开标前答疑会：</w:t>
            </w:r>
          </w:p>
          <w:p w14:paraId="38C6E58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采购包1：不组织</w:t>
            </w:r>
          </w:p>
        </w:tc>
      </w:tr>
      <w:tr w14:paraId="722CE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456" w:type="dxa"/>
            <w:vAlign w:val="center"/>
          </w:tcPr>
          <w:p w14:paraId="748A8DC2">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w:t>
            </w:r>
          </w:p>
        </w:tc>
        <w:tc>
          <w:tcPr>
            <w:tcW w:w="936" w:type="dxa"/>
            <w:vAlign w:val="center"/>
          </w:tcPr>
          <w:p w14:paraId="04E9E437">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18.1</w:t>
            </w:r>
          </w:p>
        </w:tc>
        <w:tc>
          <w:tcPr>
            <w:tcW w:w="8107" w:type="dxa"/>
            <w:vAlign w:val="center"/>
          </w:tcPr>
          <w:p w14:paraId="4A6B3F53">
            <w:pPr>
              <w:pStyle w:val="31"/>
              <w:keepNext w:val="0"/>
              <w:keepLines w:val="0"/>
              <w:pageBreakBefore w:val="0"/>
              <w:widowControl w:val="0"/>
              <w:kinsoku/>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合同签订时限：自</w:t>
            </w:r>
            <w:r>
              <w:rPr>
                <w:rFonts w:hint="eastAsia" w:asciiTheme="minorEastAsia" w:hAnsiTheme="minorEastAsia" w:eastAsiaTheme="minorEastAsia" w:cstheme="minorEastAsia"/>
                <w:bCs/>
                <w:color w:val="auto"/>
                <w:sz w:val="24"/>
                <w:szCs w:val="24"/>
                <w:highlight w:val="none"/>
                <w:lang w:eastAsia="zh-CN"/>
              </w:rPr>
              <w:t>成交</w:t>
            </w:r>
            <w:r>
              <w:rPr>
                <w:rFonts w:hint="eastAsia" w:asciiTheme="minorEastAsia" w:hAnsiTheme="minorEastAsia" w:eastAsiaTheme="minorEastAsia" w:cstheme="minorEastAsia"/>
                <w:bCs/>
                <w:color w:val="auto"/>
                <w:sz w:val="24"/>
                <w:szCs w:val="24"/>
                <w:highlight w:val="none"/>
              </w:rPr>
              <w:t>通知书发出之日起30个日历日内。</w:t>
            </w:r>
          </w:p>
        </w:tc>
      </w:tr>
    </w:tbl>
    <w:p w14:paraId="66E64F7C">
      <w:pPr>
        <w:pStyle w:val="31"/>
        <w:keepNext w:val="0"/>
        <w:keepLines w:val="0"/>
        <w:pageBreakBefore w:val="0"/>
        <w:widowControl w:val="0"/>
        <w:kinsoku/>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二、竞争性谈判须知前附表2</w:t>
      </w:r>
    </w:p>
    <w:tbl>
      <w:tblPr>
        <w:tblStyle w:val="19"/>
        <w:tblW w:w="956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2"/>
        <w:gridCol w:w="8721"/>
      </w:tblGrid>
      <w:tr w14:paraId="38F5B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9563" w:type="dxa"/>
            <w:gridSpan w:val="2"/>
            <w:vAlign w:val="center"/>
          </w:tcPr>
          <w:p w14:paraId="0DE6962A">
            <w:pPr>
              <w:pStyle w:val="31"/>
              <w:keepNext w:val="0"/>
              <w:keepLines w:val="0"/>
              <w:pageBreakBefore w:val="0"/>
              <w:widowControl w:val="0"/>
              <w:kinsoku/>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关于竞争性谈判活动的专门规定</w:t>
            </w:r>
          </w:p>
        </w:tc>
      </w:tr>
      <w:tr w14:paraId="595B6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842" w:type="dxa"/>
            <w:vAlign w:val="center"/>
          </w:tcPr>
          <w:p w14:paraId="195033B1">
            <w:pPr>
              <w:pStyle w:val="31"/>
              <w:keepNext w:val="0"/>
              <w:keepLines w:val="0"/>
              <w:pageBreakBefore w:val="0"/>
              <w:widowControl w:val="0"/>
              <w:kinsoku/>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序号</w:t>
            </w:r>
          </w:p>
        </w:tc>
        <w:tc>
          <w:tcPr>
            <w:tcW w:w="8721" w:type="dxa"/>
            <w:vAlign w:val="center"/>
          </w:tcPr>
          <w:p w14:paraId="6915BF24">
            <w:pPr>
              <w:pStyle w:val="31"/>
              <w:keepNext w:val="0"/>
              <w:keepLines w:val="0"/>
              <w:pageBreakBefore w:val="0"/>
              <w:widowControl w:val="0"/>
              <w:kinsoku/>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编列内容</w:t>
            </w:r>
          </w:p>
        </w:tc>
      </w:tr>
      <w:tr w14:paraId="4BB6F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842" w:type="dxa"/>
            <w:vAlign w:val="center"/>
          </w:tcPr>
          <w:p w14:paraId="59F43189">
            <w:pPr>
              <w:pStyle w:val="31"/>
              <w:keepNext w:val="0"/>
              <w:keepLines w:val="0"/>
              <w:pageBreakBefore w:val="0"/>
              <w:widowControl w:val="0"/>
              <w:kinsoku/>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w:t>
            </w:r>
          </w:p>
        </w:tc>
        <w:tc>
          <w:tcPr>
            <w:tcW w:w="8721" w:type="dxa"/>
            <w:vAlign w:val="center"/>
          </w:tcPr>
          <w:p w14:paraId="7EE7C73F">
            <w:pPr>
              <w:pStyle w:val="31"/>
              <w:keepNext w:val="0"/>
              <w:keepLines w:val="0"/>
              <w:pageBreakBefore w:val="0"/>
              <w:widowControl w:val="0"/>
              <w:kinsoku/>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（1）谈判小组将按照提交首次响应文件时间的先后顺序</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或者逆顺序</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，邀请各合格供应商至谈判现场进行谈判。</w:t>
            </w:r>
          </w:p>
          <w:p w14:paraId="4D14DF67">
            <w:pPr>
              <w:pStyle w:val="31"/>
              <w:keepNext w:val="0"/>
              <w:keepLines w:val="0"/>
              <w:pageBreakBefore w:val="0"/>
              <w:widowControl w:val="0"/>
              <w:kinsoku/>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2</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
                <w:color w:val="auto"/>
                <w:sz w:val="24"/>
                <w:szCs w:val="24"/>
                <w:highlight w:val="none"/>
              </w:rPr>
              <w:t>所有合格的供应商均</w:t>
            </w:r>
            <w:r>
              <w:rPr>
                <w:rFonts w:hint="eastAsia" w:asciiTheme="minorEastAsia" w:hAnsiTheme="minorEastAsia" w:eastAsiaTheme="minorEastAsia" w:cstheme="minorEastAsia"/>
                <w:b/>
                <w:color w:val="auto"/>
                <w:sz w:val="24"/>
                <w:szCs w:val="24"/>
                <w:highlight w:val="none"/>
                <w:lang w:eastAsia="zh-CN"/>
              </w:rPr>
              <w:t>须</w:t>
            </w:r>
            <w:r>
              <w:rPr>
                <w:rFonts w:hint="eastAsia" w:asciiTheme="minorEastAsia" w:hAnsiTheme="minorEastAsia" w:eastAsiaTheme="minorEastAsia" w:cstheme="minorEastAsia"/>
                <w:b/>
                <w:color w:val="auto"/>
                <w:sz w:val="24"/>
                <w:szCs w:val="24"/>
                <w:highlight w:val="none"/>
              </w:rPr>
              <w:t>至谈判现场进行谈判并进行最后报价。谈判小组确定成交候选人时以最后报价为准，</w:t>
            </w:r>
            <w:r>
              <w:rPr>
                <w:rFonts w:hint="eastAsia" w:asciiTheme="minorEastAsia" w:hAnsiTheme="minorEastAsia" w:eastAsiaTheme="minorEastAsia" w:cstheme="minorEastAsia"/>
                <w:b/>
                <w:color w:val="auto"/>
                <w:sz w:val="24"/>
                <w:szCs w:val="24"/>
                <w:highlight w:val="none"/>
                <w:lang w:eastAsia="zh-CN"/>
              </w:rPr>
              <w:t>放弃最后报价或在未实质性修改谈判文件或响应文件情况下</w:t>
            </w:r>
            <w:r>
              <w:rPr>
                <w:rFonts w:hint="eastAsia" w:asciiTheme="minorEastAsia" w:hAnsiTheme="minorEastAsia" w:eastAsiaTheme="minorEastAsia" w:cstheme="minorEastAsia"/>
                <w:b/>
                <w:color w:val="auto"/>
                <w:sz w:val="24"/>
                <w:szCs w:val="24"/>
                <w:highlight w:val="none"/>
              </w:rPr>
              <w:t>最后报价高于第一次报价，</w:t>
            </w:r>
            <w:r>
              <w:rPr>
                <w:rFonts w:hint="eastAsia" w:asciiTheme="minorEastAsia" w:hAnsiTheme="minorEastAsia" w:eastAsiaTheme="minorEastAsia" w:cstheme="minorEastAsia"/>
                <w:b/>
                <w:color w:val="auto"/>
                <w:sz w:val="24"/>
                <w:szCs w:val="24"/>
                <w:highlight w:val="none"/>
                <w:lang w:eastAsia="zh-CN"/>
              </w:rPr>
              <w:t>按无效报价处理</w:t>
            </w:r>
            <w:r>
              <w:rPr>
                <w:rFonts w:hint="eastAsia" w:asciiTheme="minorEastAsia" w:hAnsiTheme="minorEastAsia" w:eastAsiaTheme="minorEastAsia" w:cstheme="minorEastAsia"/>
                <w:b/>
                <w:color w:val="auto"/>
                <w:sz w:val="24"/>
                <w:szCs w:val="24"/>
                <w:highlight w:val="none"/>
              </w:rPr>
              <w:t>。</w:t>
            </w:r>
          </w:p>
        </w:tc>
      </w:tr>
    </w:tbl>
    <w:p w14:paraId="498F8F33">
      <w:pPr>
        <w:pStyle w:val="31"/>
        <w:widowControl w:val="0"/>
        <w:spacing w:line="400" w:lineRule="exact"/>
        <w:jc w:val="both"/>
        <w:outlineLvl w:val="1"/>
        <w:rPr>
          <w:rFonts w:hint="default" w:ascii="宋体" w:hAnsi="宋体" w:eastAsia="宋体" w:cs="宋体"/>
          <w:b/>
          <w:color w:val="0000FF"/>
          <w:sz w:val="24"/>
          <w:szCs w:val="24"/>
          <w:highlight w:val="none"/>
        </w:rPr>
        <w:sectPr>
          <w:pgSz w:w="11906" w:h="16838"/>
          <w:pgMar w:top="1417" w:right="1417" w:bottom="1417" w:left="1417" w:header="851" w:footer="992" w:gutter="0"/>
          <w:cols w:space="0" w:num="1"/>
          <w:rtlGutter w:val="0"/>
          <w:docGrid w:type="lines" w:linePitch="312" w:charSpace="0"/>
        </w:sectPr>
      </w:pPr>
    </w:p>
    <w:p w14:paraId="4A8B4DE2">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专项附件：       评定成交的标准和方法</w:t>
      </w:r>
    </w:p>
    <w:p w14:paraId="3010176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一、谈判小组</w:t>
      </w:r>
    </w:p>
    <w:p w14:paraId="45E722C0">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1.1采购人根据项目的特点依法组建谈判小组。</w:t>
      </w:r>
    </w:p>
    <w:p w14:paraId="1914D1D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1.2谈判小组</w:t>
      </w:r>
    </w:p>
    <w:p w14:paraId="0501BCD5">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由评审专家共3人组成，其中由福建省政府采购评审专家库产生的评审专家</w:t>
      </w:r>
      <w:r>
        <w:rPr>
          <w:rFonts w:hint="eastAsia" w:asciiTheme="minorEastAsia" w:hAnsiTheme="minorEastAsia" w:eastAsiaTheme="minorEastAsia" w:cstheme="minorEastAsia"/>
          <w:bCs/>
          <w:color w:val="auto"/>
          <w:sz w:val="24"/>
          <w:szCs w:val="24"/>
          <w:highlight w:val="none"/>
          <w:lang w:eastAsia="zh-CN"/>
        </w:rPr>
        <w:t>3</w:t>
      </w:r>
      <w:r>
        <w:rPr>
          <w:rFonts w:hint="eastAsia" w:asciiTheme="minorEastAsia" w:hAnsiTheme="minorEastAsia" w:eastAsiaTheme="minorEastAsia" w:cstheme="minorEastAsia"/>
          <w:bCs/>
          <w:color w:val="auto"/>
          <w:sz w:val="24"/>
          <w:szCs w:val="24"/>
          <w:highlight w:val="none"/>
        </w:rPr>
        <w:t>人。达到公开招标数额标准的货物或者服务采购项目，或者达到招标规模标准的政府采购工程，竞争性谈判小组应当由5人或以上单数组成。</w:t>
      </w:r>
    </w:p>
    <w:p w14:paraId="4B0591C0">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1.3谈判小组负责具体谈判和评审事务，并按照下列原则依法独立履行有关职责：</w:t>
      </w:r>
    </w:p>
    <w:p w14:paraId="36B9D417">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1.3.1评审应保护国家利益、社会公共利益和各方当事人合法权益，提高采购效益，保证项目质量。</w:t>
      </w:r>
    </w:p>
    <w:p w14:paraId="04F2D65A">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1.3.2评审应遵循公平、公正、科学、严谨和择优原则。</w:t>
      </w:r>
    </w:p>
    <w:p w14:paraId="64B376A9">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1.3.3评审的依据是谈判文件和响应文件，谈判文件中没有规定的评审标准不得作为评审依据。</w:t>
      </w:r>
    </w:p>
    <w:p w14:paraId="7FDE7CD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1.3.4谈判小组应按照谈判文件规定推荐成交候选供应商或根据采购人的授权确定成交供应商。</w:t>
      </w:r>
    </w:p>
    <w:p w14:paraId="65037337">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1.3.5评审应遵守下列评审纪律：</w:t>
      </w:r>
    </w:p>
    <w:p w14:paraId="700413E6">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①评审情况不得私自外泄，有关信息由采购人或其委托的代理机构统一对外发布。</w:t>
      </w:r>
    </w:p>
    <w:p w14:paraId="54CACCE9">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②对采购人或供应商提供的要求保密的资料，不得摘记翻印和外传。</w:t>
      </w:r>
    </w:p>
    <w:p w14:paraId="5949419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③不得收受供应商或有关人员的任何礼物，不得串联鼓动其他人袒护某供应商。若与供应商存在利害关系，则应主动声明并回避。</w:t>
      </w:r>
    </w:p>
    <w:p w14:paraId="653206D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④全体谈判小组成员应按照谈判文件规定进行评审，一切认定事项应查有实据且不得弄虚作假。</w:t>
      </w:r>
    </w:p>
    <w:p w14:paraId="13FA5B0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⑤评审中应充分发扬民主，推荐成交供应商候选人或根据采购人授权确定成交供应商后要服从评审报告。</w:t>
      </w:r>
    </w:p>
    <w:p w14:paraId="135005EF">
      <w:pPr>
        <w:pStyle w:val="31"/>
        <w:keepNext w:val="0"/>
        <w:keepLines w:val="0"/>
        <w:pageBreakBefore w:val="0"/>
        <w:widowControl w:val="0"/>
        <w:kinsoku/>
        <w:wordWrap/>
        <w:overflowPunct/>
        <w:topLinePunct w:val="0"/>
        <w:autoSpaceDE/>
        <w:autoSpaceDN/>
        <w:bidi w:val="0"/>
        <w:adjustRightInd/>
        <w:snapToGrid/>
        <w:spacing w:line="440" w:lineRule="exact"/>
        <w:ind w:firstLine="96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※对违反评审纪律的评委，将取消其评委资格，对评审工作造成严重损失者将予以通报批评乃至追究法律责任。</w:t>
      </w:r>
    </w:p>
    <w:p w14:paraId="567D6E6D">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二、谈判程序</w:t>
      </w:r>
    </w:p>
    <w:p w14:paraId="2637584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2.1谈判程序按照谈判文件第二章第2节“竞争性谈判须知”第14条“谈判程序以及评定成交的标准”的相关条款规定执行。</w:t>
      </w:r>
    </w:p>
    <w:p w14:paraId="5992A02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77C9833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无</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14:paraId="624E7C80">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2.3只有资格审查和实质性响应审查均合格且按规定提交最后报价的合格供应商才能参加评定成交的最后价格排序和成交候选人推荐。</w:t>
      </w:r>
    </w:p>
    <w:p w14:paraId="077EA6D0">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三、最低评审价法和成交候选人推荐</w:t>
      </w:r>
    </w:p>
    <w:p w14:paraId="7241F6F8">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24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3.1谈判小组将采用最低评审价法对提交最后报价的合格供应商的响应文件和最后报价进行评审，并推荐成交候选人，具体评审的标准和方法如下：</w:t>
      </w:r>
    </w:p>
    <w:p w14:paraId="08D6CBC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3.1.1根据财政部及福建省财政厅等有关政府采购文件规定执行价格评审优惠政策，价格扣除规则如下：</w:t>
      </w:r>
    </w:p>
    <w:p w14:paraId="0E309740">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3"/>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采购包1：最低评标价法</w:t>
      </w:r>
    </w:p>
    <w:p w14:paraId="0C5A9A2D">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异常低价审查</w:t>
      </w:r>
    </w:p>
    <w:tbl>
      <w:tblPr>
        <w:tblStyle w:val="19"/>
        <w:tblW w:w="935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31"/>
        <w:gridCol w:w="7824"/>
      </w:tblGrid>
      <w:tr w14:paraId="40A52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531" w:type="dxa"/>
          </w:tcPr>
          <w:p w14:paraId="1D2E242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w:t>
            </w:r>
          </w:p>
        </w:tc>
        <w:tc>
          <w:tcPr>
            <w:tcW w:w="7824" w:type="dxa"/>
          </w:tcPr>
          <w:p w14:paraId="60D9014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描述</w:t>
            </w:r>
          </w:p>
        </w:tc>
      </w:tr>
      <w:tr w14:paraId="439849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31" w:type="dxa"/>
          </w:tcPr>
          <w:p w14:paraId="6311E38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异常低价审查</w:t>
            </w:r>
          </w:p>
        </w:tc>
        <w:tc>
          <w:tcPr>
            <w:tcW w:w="7824" w:type="dxa"/>
          </w:tcPr>
          <w:p w14:paraId="5112E5F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根据《财政部关于推动解决政府采购异常低价问题的通知》（财库〔2026〕2号），结合本项目（采购包）实际情况，政府采购评审中出现下列情形之一的，评审委员会应当启动异常低价投标（响应）审查程序： （1）采购包：合计响应报价响应报价低于全部通过符合性审查供应商响应报价平均值</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color w:val="auto"/>
                <w:sz w:val="24"/>
                <w:szCs w:val="24"/>
                <w:highlight w:val="none"/>
              </w:rPr>
              <w:t>%的，即合计响应报价响应报价&lt;全部通过符合性审查供应商响应报价平均值×</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color w:val="auto"/>
                <w:sz w:val="24"/>
                <w:szCs w:val="24"/>
                <w:highlight w:val="none"/>
              </w:rPr>
              <w:t>%。 （2）采购包：合计响应报价响应报价低于通过符合性审查次低报价供应商响应报价</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color w:val="auto"/>
                <w:sz w:val="24"/>
                <w:szCs w:val="24"/>
                <w:highlight w:val="none"/>
              </w:rPr>
              <w:t>%的，即合计响应报价响应报价&lt;通过符合性审查次低报价供应商响应报价×</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w:t>
            </w:r>
            <w:r>
              <w:rPr>
                <w:rFonts w:hint="eastAsia" w:asciiTheme="minorEastAsia" w:hAnsiTheme="minorEastAsia" w:eastAsiaTheme="minorEastAsia" w:cstheme="minorEastAsia"/>
                <w:color w:val="auto"/>
                <w:sz w:val="24"/>
                <w:szCs w:val="24"/>
                <w:highlight w:val="none"/>
              </w:rPr>
              <w:t>%。 （3）采购包：合计响应报价响应报价低于最高限价</w:t>
            </w:r>
            <w:r>
              <w:rPr>
                <w:rFonts w:hint="eastAsia" w:asciiTheme="minorEastAsia" w:hAnsiTheme="minorEastAsia" w:eastAsiaTheme="minorEastAsia" w:cstheme="minorEastAsia"/>
                <w:color w:val="auto"/>
                <w:sz w:val="24"/>
                <w:szCs w:val="24"/>
                <w:highlight w:val="none"/>
                <w:lang w:val="en-US" w:eastAsia="zh-CN"/>
              </w:rPr>
              <w:t>45</w:t>
            </w:r>
            <w:r>
              <w:rPr>
                <w:rFonts w:hint="eastAsia" w:asciiTheme="minorEastAsia" w:hAnsiTheme="minorEastAsia" w:eastAsiaTheme="minorEastAsia" w:cstheme="minorEastAsia"/>
                <w:color w:val="auto"/>
                <w:sz w:val="24"/>
                <w:szCs w:val="24"/>
                <w:highlight w:val="none"/>
              </w:rPr>
              <w:t>%的，即合计响应报价响应报价&lt;最高限价×</w:t>
            </w:r>
            <w:r>
              <w:rPr>
                <w:rFonts w:hint="eastAsia" w:asciiTheme="minorEastAsia" w:hAnsiTheme="minorEastAsia" w:eastAsiaTheme="minorEastAsia" w:cstheme="minorEastAsia"/>
                <w:color w:val="auto"/>
                <w:sz w:val="24"/>
                <w:szCs w:val="24"/>
                <w:highlight w:val="none"/>
                <w:lang w:val="en-US" w:eastAsia="zh-CN"/>
              </w:rPr>
              <w:t>45</w:t>
            </w:r>
            <w:r>
              <w:rPr>
                <w:rFonts w:hint="eastAsia" w:asciiTheme="minorEastAsia" w:hAnsiTheme="minorEastAsia" w:eastAsiaTheme="minorEastAsia" w:cstheme="minorEastAsia"/>
                <w:color w:val="auto"/>
                <w:sz w:val="24"/>
                <w:szCs w:val="24"/>
                <w:highlight w:val="none"/>
              </w:rPr>
              <w:t>%。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32C90844">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0EC346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67492E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D46FA2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异常低价投标（响应）审查的启动原因、审查意见和审查结果应当在评审报告中记录，并随供应商提供的相关书面说明及证明材料，以及评审委员会有关互联网浏览、查询历史一并归档。</w:t>
      </w:r>
    </w:p>
    <w:p w14:paraId="59D6E8E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响应文件满足谈判文件全部实质性要求，且响应报价最低的供应商为成交候选供应商。</w:t>
      </w:r>
    </w:p>
    <w:p w14:paraId="08A7AB3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价格扣除的规则如下：</w:t>
      </w:r>
    </w:p>
    <w:p w14:paraId="05BD6D1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小型、微型企业产品</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无</w:t>
      </w:r>
    </w:p>
    <w:p w14:paraId="48EF436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其他：无</w:t>
      </w:r>
    </w:p>
    <w:p w14:paraId="02E1144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※除落实政府采购政策需进行的价格扣除情形外，不能对供应商的报价进行任何调整。</w:t>
      </w:r>
    </w:p>
    <w:p w14:paraId="2CBC9B6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（3）成交候选供应商排列规则顺序如下：</w:t>
      </w:r>
    </w:p>
    <w:p w14:paraId="6AADDE2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a.按照评审价（即价格扣除后的响应报价）由低到高顺序排列。</w:t>
      </w:r>
    </w:p>
    <w:p w14:paraId="0001903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b.评审价相同的并列。</w:t>
      </w:r>
    </w:p>
    <w:p w14:paraId="6B31F482">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c.其他：无</w:t>
      </w:r>
    </w:p>
    <w:p w14:paraId="0122435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3.1.2合格供应商提交的最后报价按照上文3.1.1款规定的价格扣除规则计算后，得出的价格称为最后报价评审价。</w:t>
      </w:r>
    </w:p>
    <w:p w14:paraId="3766D077">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3.1.3 谈判小组将从质量和服务均能满足采购文件实质性响应要求的供应商中，按照最后报价评审价由低到高的顺序提出3名以上成交候选人，并编写评审报告。 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14:paraId="1B4C3A1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（1）谈判文件可以约定出现并列最低评审价情形时的优先顺序规则，具体规则为：</w:t>
      </w:r>
    </w:p>
    <w:p w14:paraId="4E746756">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无</w:t>
      </w:r>
    </w:p>
    <w:p w14:paraId="760C123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（2）谈判文件未约定优先顺序规则时，则由谈判小组中的采购人代表从并列最低评审价名单中自行选择确定优先顺序</w:t>
      </w:r>
    </w:p>
    <w:p w14:paraId="545382C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（3）采购人代表放弃自行选择确定权利的，则通过随机抽取方式确定优先顺序。</w:t>
      </w:r>
    </w:p>
    <w:p w14:paraId="5C606EE5">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四、评审报告</w:t>
      </w:r>
    </w:p>
    <w:p w14:paraId="725207E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4.1谈判小组完成评审后，应当编写评审报告并提交给采购人。</w:t>
      </w:r>
    </w:p>
    <w:p w14:paraId="7DB0C463">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4.2评审报告应当包括以下主要内容：</w:t>
      </w:r>
    </w:p>
    <w:p w14:paraId="0DB4E9C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（一）邀请供应商参加采购活动的具体方式和相关情况，以及参加采购活动的供应商名单；</w:t>
      </w:r>
    </w:p>
    <w:p w14:paraId="0DB878A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（二）评审日期和地点，谈判小组成员名单；</w:t>
      </w:r>
    </w:p>
    <w:p w14:paraId="4E13700B">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（三）评审情况记录和说明，包括对供应商的资格审查情况、供应商响应文件评审情况、谈判情况、报价情况等；</w:t>
      </w:r>
    </w:p>
    <w:p w14:paraId="7828524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（四）提出的成交候选人的名单及理由。</w:t>
      </w:r>
    </w:p>
    <w:p w14:paraId="4ED8300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23A0B476">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五、其他规定</w:t>
      </w:r>
    </w:p>
    <w:p w14:paraId="0C96539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5.1其他规定</w:t>
      </w:r>
    </w:p>
    <w:p w14:paraId="01787DA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5.1.1评审应全程保密且不得透露给任一供应商或与评审工作无关的人员。</w:t>
      </w:r>
    </w:p>
    <w:p w14:paraId="2AAD7AE6">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5.1.2评审将进行全程实时录音录像，录音录像资料随采购文件一并存档。</w:t>
      </w:r>
    </w:p>
    <w:p w14:paraId="34F9E5FA">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5.1.3若供应商有任何试图干扰具体评审事务，影响谈判小组独立履行职责的行为，其响应无效。情节严重的，由财政部门列入不良行为记录。</w:t>
      </w:r>
    </w:p>
    <w:p w14:paraId="20DAC61B">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5.1.4根据采购项目的特点和需要，需要加以详细说明的其他谈判程序规定、要求等内容：无</w:t>
      </w:r>
    </w:p>
    <w:p w14:paraId="2C49661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第2节  竞争性谈判须知</w:t>
      </w:r>
    </w:p>
    <w:p w14:paraId="75A044C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一、总则</w:t>
      </w:r>
    </w:p>
    <w:p w14:paraId="65D4FEAD">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1.适用范围：</w:t>
      </w:r>
    </w:p>
    <w:p w14:paraId="440BD08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1.1适用于谈判文件载明项目的采购活动（以下简称：“本次采购活动”）。</w:t>
      </w:r>
    </w:p>
    <w:p w14:paraId="6B3181CE">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2.定义及要求：</w:t>
      </w:r>
    </w:p>
    <w:p w14:paraId="7D4401A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2.1“采购标的”指谈判文件载明的需要采购的货物、服务、工程。</w:t>
      </w:r>
    </w:p>
    <w:p w14:paraId="1F2D246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2.2“采购人”指本次采购项目的买方</w:t>
      </w:r>
      <w:r>
        <w:rPr>
          <w:rFonts w:hint="eastAsia" w:asciiTheme="minorEastAsia" w:hAnsiTheme="minorEastAsia" w:eastAsiaTheme="minorEastAsia" w:cstheme="minorEastAsia"/>
          <w:bCs/>
          <w:color w:val="auto"/>
          <w:sz w:val="24"/>
          <w:szCs w:val="24"/>
          <w:highlight w:val="none"/>
          <w:lang w:eastAsia="zh-CN"/>
        </w:rPr>
        <w:t>或</w:t>
      </w:r>
      <w:r>
        <w:rPr>
          <w:rFonts w:hint="eastAsia" w:asciiTheme="minorEastAsia" w:hAnsiTheme="minorEastAsia" w:eastAsiaTheme="minorEastAsia" w:cstheme="minorEastAsia"/>
          <w:bCs/>
          <w:color w:val="auto"/>
          <w:sz w:val="24"/>
          <w:szCs w:val="24"/>
          <w:highlight w:val="none"/>
        </w:rPr>
        <w:t>业主方</w:t>
      </w:r>
      <w:r>
        <w:rPr>
          <w:rFonts w:hint="eastAsia" w:asciiTheme="minorEastAsia" w:hAnsiTheme="minorEastAsia" w:eastAsiaTheme="minorEastAsia" w:cstheme="minorEastAsia"/>
          <w:bCs/>
          <w:color w:val="auto"/>
          <w:sz w:val="24"/>
          <w:szCs w:val="24"/>
          <w:highlight w:val="none"/>
          <w:lang w:eastAsia="zh-CN"/>
        </w:rPr>
        <w:t>或</w:t>
      </w:r>
      <w:r>
        <w:rPr>
          <w:rFonts w:hint="eastAsia" w:asciiTheme="minorEastAsia" w:hAnsiTheme="minorEastAsia" w:eastAsiaTheme="minorEastAsia" w:cstheme="minorEastAsia"/>
          <w:bCs/>
          <w:color w:val="auto"/>
          <w:sz w:val="24"/>
          <w:szCs w:val="24"/>
          <w:highlight w:val="none"/>
        </w:rPr>
        <w:t>甲方，具体见谈判文件第一章；“采购代理机构”系指接受采购人委托，组织开展竞争性谈判采购活动的代理机构，具体见谈判文件第一章。</w:t>
      </w:r>
    </w:p>
    <w:p w14:paraId="36C75EB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2.3“潜在供应商”按照谈判文件第一章规定进行获取文件，且有意向参加本项目响应谈判的供应商。</w:t>
      </w:r>
    </w:p>
    <w:p w14:paraId="584C5A8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2.4“供应商”指按照谈判文件第一章规定进行获取文件，且已经提交响应文件的法人或其他组织或自然人。只有适合自然人参与和承接的政府采购项目，供应商才可以是自然人。</w:t>
      </w:r>
    </w:p>
    <w:p w14:paraId="4A770E1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2.5“单位负责人”指单位法定代表人（供应商为法人的）或法律、法规规定代表单位行使职权的主要负责人（供应商为其他组织的）。</w:t>
      </w:r>
    </w:p>
    <w:p w14:paraId="4B1AB80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2.6“供应商代表”指供应商（为法人或其他组织的）的单位负责人或由其授权的委托代理人，即单位负责人授权书中载明的接受授权方。供应商为自然人的，由本人签字并附身份证明。</w:t>
      </w:r>
    </w:p>
    <w:p w14:paraId="5CE2CA45">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3.合格的供应商：</w:t>
      </w:r>
    </w:p>
    <w:p w14:paraId="041D63B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3.1一般规定</w:t>
      </w:r>
    </w:p>
    <w:p w14:paraId="538F137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0686E1D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0026821">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3.1.2为采购项目提供整体设计、规范编制或项目管理、监理、检测等服务的供应商，不得再参加该采购项目除整体设计、规范编制和项目管理、监理、检测等服务之外的其他采购活动。</w:t>
      </w:r>
    </w:p>
    <w:p w14:paraId="362190C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3.1.3列入失信被执行人、重大税收违法案件当事人名单、政府采购严重违法失信行为记录名单及其他不符合《中华人民共和国政府采购法》第二十二条规定条件的供应商，不得参加政府采购活动。</w:t>
      </w:r>
    </w:p>
    <w:p w14:paraId="7828BD9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供应商有责任检查自身情况，在响应文件中对是否违反以上一般规定做出如实声明，否则其响应文件将被否决。</w:t>
      </w:r>
    </w:p>
    <w:p w14:paraId="656FA73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3.2特别规定</w:t>
      </w:r>
    </w:p>
    <w:p w14:paraId="13662306">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3.2.1供应商的资格要求：详见竞争性谈判须知前附表第1项。</w:t>
      </w:r>
    </w:p>
    <w:p w14:paraId="632BD3A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3.2.2是否接受联合体形式的响应谈判：详见竞争性谈判须知前附表第2项。若接受联合体形式且供应商为联合体，则联合体各方除了应遵守本章第3.1条规定外，还应遵守下列规定：</w:t>
      </w:r>
    </w:p>
    <w:p w14:paraId="68042507">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（1）联合体各方应提交联合体协议，联合体协议应符合谈判文件规定。</w:t>
      </w:r>
    </w:p>
    <w:p w14:paraId="4D038C9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（2）联合体各方不得再单独参加或与其他供应商另外组成联合体参加同一合同项下的响应谈判。</w:t>
      </w:r>
    </w:p>
    <w:p w14:paraId="5983821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（3）联合体各方应共同与采购人签订政府采购合同，就政府采购合同约定的事项对采购人承担连带责任。</w:t>
      </w:r>
    </w:p>
    <w:p w14:paraId="0772D7D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D04D95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（5）联合体一方放弃成交的，视为联合体整体放弃成交，联合体各方承担连带责任。</w:t>
      </w:r>
    </w:p>
    <w:p w14:paraId="4F29BD21">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（6）如本项目不接受联合体报价而供应商为联合体的，或者本项目接受联合体报价但供应商组成的联合体不符合本章第3.2条规定的，其报价无效。</w:t>
      </w:r>
    </w:p>
    <w:p w14:paraId="010A4ED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6EB3153E">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4.参与竞争性谈判费用：</w:t>
      </w:r>
    </w:p>
    <w:p w14:paraId="64D158C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4.1除法律法规或采购文件另有规定之外，供应商应自行承担其准备与参加竞争性谈判所涉及的一切费用。</w:t>
      </w:r>
    </w:p>
    <w:p w14:paraId="2E09C1F4">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二、竞争性谈判文件</w:t>
      </w:r>
    </w:p>
    <w:p w14:paraId="2D86693D">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5.竞争性谈判文件的组成：</w:t>
      </w:r>
    </w:p>
    <w:p w14:paraId="7438259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5.1竞争性谈判文件由下述部分组成：</w:t>
      </w:r>
    </w:p>
    <w:p w14:paraId="254FD66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第一章 采购公告（或采购邀请书）</w:t>
      </w:r>
    </w:p>
    <w:p w14:paraId="7CBCFEE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第二章 竞争性谈判须知</w:t>
      </w:r>
    </w:p>
    <w:p w14:paraId="4D9791D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第三章 采购内容及要求</w:t>
      </w:r>
    </w:p>
    <w:p w14:paraId="1DA7015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第四章 合同主要条款及格式</w:t>
      </w:r>
    </w:p>
    <w:p w14:paraId="54473C5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第五章 首次响应文件格式</w:t>
      </w:r>
    </w:p>
    <w:p w14:paraId="4F3292B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5.2除上述内容以外，采购人、采购代理机构或者谈判小组在采购过程期间对谈判文件所作的澄清、修改或补充，均构成谈判文件的组成部分，对采购人和供应商具有约束力。</w:t>
      </w:r>
    </w:p>
    <w:p w14:paraId="27B2EEFC">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6.竞争性谈判文件的澄清、补充或修改：</w:t>
      </w:r>
    </w:p>
    <w:p w14:paraId="3CEA674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14:paraId="33983CB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14:paraId="7D3FC03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三、响应文件编制</w:t>
      </w:r>
    </w:p>
    <w:p w14:paraId="61598C50">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7.应标要求</w:t>
      </w:r>
    </w:p>
    <w:p w14:paraId="5E4EC3A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7.1供应商可按照采购包号，对竞争性谈判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1A7F5CA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7.2供应商代表在同一个合同项下只能接受一个供应商的委托参加响应谈判，否则其响应文件将被否决。</w:t>
      </w:r>
    </w:p>
    <w:p w14:paraId="623108B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7.3供应商应仔细阅读谈判文件的所有内容和要求，按谈判文件的规定提供响应文件，并对其所提供的全部资料、承诺和声明的真实性、合法性和准确性负责。</w:t>
      </w:r>
    </w:p>
    <w:p w14:paraId="0BD029F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7.4除非竞争性谈判须知前附表另有规定外，供应商提供的响应文件应使用中文文本，若有不同文字文本，以中文文本为准。</w:t>
      </w:r>
    </w:p>
    <w:p w14:paraId="45AA7D21">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C05CE9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7.6除非竞争性谈判须知前附表另有规定外，供应商承诺的报价应以人民币进行报价，合同实施结算时亦以人民币支付；所有计量均采用中华人民共和国法定计量单位。</w:t>
      </w:r>
    </w:p>
    <w:p w14:paraId="67B70711">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8.首次响应文件的组成：</w:t>
      </w:r>
    </w:p>
    <w:p w14:paraId="251EA20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8.1首次响应文件包括但不限于下列部分：</w:t>
      </w:r>
    </w:p>
    <w:p w14:paraId="19B54E73">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（1）谈判响应声明</w:t>
      </w:r>
    </w:p>
    <w:p w14:paraId="1C873DB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（2）报价一览表</w:t>
      </w:r>
    </w:p>
    <w:p w14:paraId="28B8AD2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（3）资格证明文件</w:t>
      </w:r>
    </w:p>
    <w:p w14:paraId="69EADE9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4</w:t>
      </w:r>
      <w:r>
        <w:rPr>
          <w:rFonts w:hint="eastAsia" w:asciiTheme="minorEastAsia" w:hAnsiTheme="minorEastAsia" w:eastAsiaTheme="minorEastAsia" w:cstheme="minorEastAsia"/>
          <w:bCs/>
          <w:color w:val="auto"/>
          <w:sz w:val="24"/>
          <w:szCs w:val="24"/>
          <w:highlight w:val="none"/>
        </w:rPr>
        <w:t>）技术和商务偏离表</w:t>
      </w:r>
    </w:p>
    <w:p w14:paraId="12632AF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5</w:t>
      </w:r>
      <w:r>
        <w:rPr>
          <w:rFonts w:hint="eastAsia" w:asciiTheme="minorEastAsia" w:hAnsiTheme="minorEastAsia" w:eastAsiaTheme="minorEastAsia" w:cstheme="minorEastAsia"/>
          <w:bCs/>
          <w:color w:val="auto"/>
          <w:sz w:val="24"/>
          <w:szCs w:val="24"/>
          <w:highlight w:val="none"/>
        </w:rPr>
        <w:t>）相关技术、商务、服务响应承诺及资料</w:t>
      </w:r>
    </w:p>
    <w:p w14:paraId="468600E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eastAsia="zh-CN"/>
        </w:rPr>
        <w:t>6</w:t>
      </w:r>
      <w:r>
        <w:rPr>
          <w:rFonts w:hint="eastAsia" w:asciiTheme="minorEastAsia" w:hAnsiTheme="minorEastAsia" w:eastAsiaTheme="minorEastAsia" w:cstheme="minorEastAsia"/>
          <w:bCs/>
          <w:color w:val="auto"/>
          <w:sz w:val="24"/>
          <w:szCs w:val="24"/>
          <w:highlight w:val="none"/>
        </w:rPr>
        <w:t>）要求作为响应文件组成部分的其他内容（若有）</w:t>
      </w:r>
    </w:p>
    <w:p w14:paraId="6A0BEA50">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9.响应文件有效期：</w:t>
      </w:r>
    </w:p>
    <w:p w14:paraId="3F7126E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9.1响应文件有效期见竞争性谈判须知前附表第3项，响应文件承诺的有效期不得少于谈判文件载明的有效期，否则其响应文件将被否决。</w:t>
      </w:r>
    </w:p>
    <w:p w14:paraId="582C6BE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9.2特殊情况下采购人可于响应文件有效期满之前要求供应商同意延长有效期，要求与答复均应为书面形式。供应商可以拒绝延长有效期，但其供应商资格将被取消。同意延长有效期的供应商，不需要也不允许修改其响应文件及谈判承诺。</w:t>
      </w:r>
    </w:p>
    <w:p w14:paraId="15A24B35">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10.谈判保证金：</w:t>
      </w:r>
    </w:p>
    <w:p w14:paraId="0F690AE1">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10.1供应商应按竞争性谈判文件规定的金额、形式等要求提交谈判保证金。谈判文件若接受联合体形式且供应商为联合体的，则由联合体中的牵头方负责提交谈判保证金，其提交的谈判保证金对联合体各方均具有约束力。</w:t>
      </w:r>
    </w:p>
    <w:p w14:paraId="6DB6DD3A">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10.1.1供应商以汇款形式缴纳谈判保证金的，应从其银行账户（基本存款账户）按照下列方式：公对公转账方式向谈判文件载明的谈判保证金账户提交谈判保证金。谈判保证金应于首次响应文件递交截止时间前到达谈判文件载明的谈判保证金账户，否则视为谈判保证金未提交。</w:t>
      </w:r>
    </w:p>
    <w:p w14:paraId="2FE85AE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10.1.2其他形式： 无</w:t>
      </w:r>
    </w:p>
    <w:p w14:paraId="35845B7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10.2谈判保证金为响应文件的重要组成部分之一。谈判保证金用于保护本次谈判活动免受供应商的违约或失信行为而引起的风险。未按规定提交谈判保证金的，其响应文件将被否决。</w:t>
      </w:r>
    </w:p>
    <w:p w14:paraId="036957B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10.3谈判保证金退还：</w:t>
      </w:r>
    </w:p>
    <w:p w14:paraId="422CBCA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4项。</w:t>
      </w:r>
    </w:p>
    <w:p w14:paraId="20D2C23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10.3.2质疑或投诉涉及的供应商，若其谈判保证金尚未退还，则待质疑或投诉处理完毕后，且没有发生法律法规或者谈判文件规定的不予退还谈判保证金情形，则由采购人或采购代理机构给予及时退还。</w:t>
      </w:r>
    </w:p>
    <w:p w14:paraId="0D36099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10.4如果供应商发生以下任何一种情况时，其谈判保证金将被不予退还：</w:t>
      </w:r>
    </w:p>
    <w:p w14:paraId="3113DA7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(1)供应商在提交响应文件截止时间后撤回响应文件的；</w:t>
      </w:r>
    </w:p>
    <w:p w14:paraId="008F083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(2)供应商在响应文件中提供虚假材料的；</w:t>
      </w:r>
    </w:p>
    <w:p w14:paraId="79F80D63">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(3)除因不可抗力或谈判文件认可的情形以外，成交供应商不与采购人签订合同的；</w:t>
      </w:r>
    </w:p>
    <w:p w14:paraId="66420CA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(4)供应商与采购人、其他供应商或者采购代理机构恶意串通的；</w:t>
      </w:r>
    </w:p>
    <w:p w14:paraId="03CEE0E3">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(5)供应商在提交最后报价后要求退出谈判的；</w:t>
      </w:r>
    </w:p>
    <w:p w14:paraId="46F0D84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(6)供应商假借以他人名义参加谈判或者以其他方式弄虚作假，骗取成交；</w:t>
      </w:r>
    </w:p>
    <w:p w14:paraId="52B56431">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(7)国家法律法规以及谈判文件中规定的其他谈判保证金不予退还的情形。</w:t>
      </w:r>
    </w:p>
    <w:p w14:paraId="03B1FEE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上述不予退还谈判保证金的情况不能抵偿给采购人或采购代理机构造成损失的，供应商还要承担赔偿责任。</w:t>
      </w:r>
    </w:p>
    <w:p w14:paraId="3EC9B1F4">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11.响应文件基本编制要求：</w:t>
      </w:r>
    </w:p>
    <w:p w14:paraId="2C698DB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11.1供应商须编制由本须知规定组成的响应文件正副本份数详见竞争性谈判须知前附表第6项。响应文件正本和全部副本均应使用不能擦去的墨料或墨水打印、书写或复印，副本可以用正本的完整复印件。响应文件封面上应标明“正本</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副本”字样。正本与副本内容如有不一致，则以正本为准。</w:t>
      </w:r>
    </w:p>
    <w:p w14:paraId="50D8D66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11.2响应文件应由供应商代表签字并加盖公章。供应商代表如果不是竞争性谈判须知中定义的“单位负责人”，则其响应文件中还必须提供“单位负责人授权书”。</w:t>
      </w:r>
    </w:p>
    <w:p w14:paraId="0153D21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11.3响应文件应尽量避免涂改、行间插字或删除。如果出现上述情况，改动之处应加盖供应商单位公章或由供应商代表签字确认。</w:t>
      </w:r>
    </w:p>
    <w:p w14:paraId="489B2E3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11.4供应商应提交证明其拟提供货物、服务或工程符合谈判文件要求的技术和商务响应文件，该文件可以是文字资料、图纸和数据，并对拟提供的货物、服务或工程的主要内容进行详细描述。</w:t>
      </w:r>
    </w:p>
    <w:p w14:paraId="7A0D145D">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12.响应文件的密封、标识、签署和提交</w:t>
      </w:r>
    </w:p>
    <w:p w14:paraId="5CAA233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72DF294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12.2供应商应当在谈判文件规定的提交响应文件截止时间前，将首次响应文件密封送达谈判文件规定的指定地点。在截止时间后送达的首次响应文件为无效文件，采购人、采购代理机构或者谈判小组将不予接收。</w:t>
      </w:r>
    </w:p>
    <w:p w14:paraId="14DCCDC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14:paraId="396F89B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14:paraId="1D21B19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12.5除《政府采购非招标采购方式管理办法》等相关法律法规及财政部门颁布的规范性文件允许的两家供应商进行竞争性谈判采购情形外，首次响应文件递交截止时间后，提交响应文件的供应商不足三家的，本次竞争性谈判活动终止，除采购任务取消情形外，采购人将依法重新组织采购或者采取其他方式采购。</w:t>
      </w:r>
    </w:p>
    <w:p w14:paraId="72DC4369">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四、竞争性谈判</w:t>
      </w:r>
    </w:p>
    <w:p w14:paraId="3FEC02D6">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13.评审和谈判基本准则</w:t>
      </w:r>
    </w:p>
    <w:p w14:paraId="0C9C9FE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13.1对所有供应商的评审和谈判，都采用相同的程序和标准。</w:t>
      </w:r>
    </w:p>
    <w:p w14:paraId="714C81E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13.2谈判及评审过程将严格按照谈判文件的要求和条件进行，谈判小组将根据供应商的响应文件，按谈判文件规定的谈判程序和评定成交标准进行评审和谈判，并推荐成交候选人。</w:t>
      </w:r>
    </w:p>
    <w:p w14:paraId="38F3EA36">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14.谈判程序以及评定成交标准</w:t>
      </w:r>
    </w:p>
    <w:p w14:paraId="13F2830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14.1采购人将根据项目的特点依法组建谈判小组。谈判小组将根据谈判文件规定的程序、评定成交标准等内容对供应商进行评审、谈判。</w:t>
      </w:r>
    </w:p>
    <w:p w14:paraId="20452F6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14:paraId="7E31FC5B">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14.2.1供应商有下列情况之一者，其提交的响应文件将被视为未实质性响应谈判文件要求，谈判小组将否决其响应文件，按无效处理：</w:t>
      </w:r>
    </w:p>
    <w:p w14:paraId="13695187">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tbl>
      <w:tblPr>
        <w:tblStyle w:val="19"/>
        <w:tblW w:w="933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1"/>
        <w:gridCol w:w="2160"/>
        <w:gridCol w:w="6397"/>
      </w:tblGrid>
      <w:tr w14:paraId="159C2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2AAD9C9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2160" w:type="dxa"/>
            <w:vAlign w:val="center"/>
          </w:tcPr>
          <w:p w14:paraId="37E2BE4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符合审查要求概况</w:t>
            </w:r>
          </w:p>
        </w:tc>
        <w:tc>
          <w:tcPr>
            <w:tcW w:w="6397" w:type="dxa"/>
            <w:vAlign w:val="center"/>
          </w:tcPr>
          <w:p w14:paraId="30AE586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评审点具体描述</w:t>
            </w:r>
          </w:p>
        </w:tc>
      </w:tr>
      <w:tr w14:paraId="60A5FC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5069C1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160" w:type="dxa"/>
            <w:vAlign w:val="center"/>
          </w:tcPr>
          <w:p w14:paraId="468C24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情形1</w:t>
            </w:r>
          </w:p>
        </w:tc>
        <w:tc>
          <w:tcPr>
            <w:tcW w:w="6397" w:type="dxa"/>
            <w:vAlign w:val="center"/>
          </w:tcPr>
          <w:p w14:paraId="51C89E37">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响应文件中提供的资格证明文件不全的；</w:t>
            </w:r>
          </w:p>
        </w:tc>
      </w:tr>
      <w:tr w14:paraId="6A35E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067F8C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2160" w:type="dxa"/>
            <w:vAlign w:val="center"/>
          </w:tcPr>
          <w:p w14:paraId="49E38C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情形2</w:t>
            </w:r>
          </w:p>
        </w:tc>
        <w:tc>
          <w:tcPr>
            <w:tcW w:w="6397" w:type="dxa"/>
            <w:vAlign w:val="center"/>
          </w:tcPr>
          <w:p w14:paraId="48833FE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响应文件未按谈判文件规定由供应商代表签字，或未按谈判文件规定加盖供应商单位公章的；或供应商代表未获得有效授权的；</w:t>
            </w:r>
          </w:p>
        </w:tc>
      </w:tr>
      <w:tr w14:paraId="2F6C5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454896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2160" w:type="dxa"/>
            <w:vAlign w:val="center"/>
          </w:tcPr>
          <w:p w14:paraId="6BFABA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情形3</w:t>
            </w:r>
          </w:p>
        </w:tc>
        <w:tc>
          <w:tcPr>
            <w:tcW w:w="6397" w:type="dxa"/>
            <w:vAlign w:val="center"/>
          </w:tcPr>
          <w:p w14:paraId="367F56B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供应商未按谈判文件规定提交谈判保证金的；</w:t>
            </w:r>
          </w:p>
        </w:tc>
      </w:tr>
      <w:tr w14:paraId="2A3EB7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405B0DC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2160" w:type="dxa"/>
            <w:vAlign w:val="center"/>
          </w:tcPr>
          <w:p w14:paraId="38F178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情形4</w:t>
            </w:r>
          </w:p>
        </w:tc>
        <w:tc>
          <w:tcPr>
            <w:tcW w:w="6397" w:type="dxa"/>
            <w:vAlign w:val="center"/>
          </w:tcPr>
          <w:p w14:paraId="53D5D66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响应文件有效期不满足谈判文件要求的；</w:t>
            </w:r>
          </w:p>
        </w:tc>
      </w:tr>
      <w:tr w14:paraId="24106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0C13DD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2160" w:type="dxa"/>
            <w:vAlign w:val="center"/>
          </w:tcPr>
          <w:p w14:paraId="530570F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情形5</w:t>
            </w:r>
          </w:p>
        </w:tc>
        <w:tc>
          <w:tcPr>
            <w:tcW w:w="6397" w:type="dxa"/>
            <w:vAlign w:val="center"/>
          </w:tcPr>
          <w:p w14:paraId="3D82E4E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响应内容与谈判采购内容及要求有重大偏离或保留的，限制了采购人的权利或者减少成交供应商合同项下的义务；（由于谈判项目本身特点，不能详细列明采购标的的技术、服务要求的除外）；</w:t>
            </w:r>
          </w:p>
        </w:tc>
      </w:tr>
      <w:tr w14:paraId="3A9D2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50B2AD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2160" w:type="dxa"/>
            <w:vAlign w:val="center"/>
          </w:tcPr>
          <w:p w14:paraId="633084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情形6</w:t>
            </w:r>
          </w:p>
        </w:tc>
        <w:tc>
          <w:tcPr>
            <w:tcW w:w="6397" w:type="dxa"/>
            <w:vAlign w:val="center"/>
          </w:tcPr>
          <w:p w14:paraId="75C5A35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响应文件中附有采购人无法接受的条件的；</w:t>
            </w:r>
          </w:p>
        </w:tc>
      </w:tr>
      <w:tr w14:paraId="17147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781" w:type="dxa"/>
            <w:vAlign w:val="center"/>
          </w:tcPr>
          <w:p w14:paraId="2BA261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2160" w:type="dxa"/>
            <w:vAlign w:val="center"/>
          </w:tcPr>
          <w:p w14:paraId="178A67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情形</w:t>
            </w:r>
            <w:r>
              <w:rPr>
                <w:rFonts w:hint="eastAsia" w:asciiTheme="minorEastAsia" w:hAnsiTheme="minorEastAsia" w:eastAsiaTheme="minorEastAsia" w:cstheme="minorEastAsia"/>
                <w:color w:val="auto"/>
                <w:sz w:val="24"/>
                <w:szCs w:val="24"/>
                <w:highlight w:val="none"/>
                <w:lang w:val="en-US" w:eastAsia="zh-CN"/>
              </w:rPr>
              <w:t>7</w:t>
            </w:r>
          </w:p>
        </w:tc>
        <w:tc>
          <w:tcPr>
            <w:tcW w:w="6397" w:type="dxa"/>
            <w:vAlign w:val="center"/>
          </w:tcPr>
          <w:p w14:paraId="751DC7DD">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不符合谈判文件中规定的其它实质性条款（比如：报价超过了谈判文件规定的最高限价）。</w:t>
            </w:r>
          </w:p>
        </w:tc>
      </w:tr>
    </w:tbl>
    <w:p w14:paraId="7E8FDFA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谈判小组决定供应商的响应性只根据响应文件本身的内容，而不寻求其他的外部证据。</w:t>
      </w:r>
    </w:p>
    <w:p w14:paraId="004B76A2">
      <w:pPr>
        <w:pStyle w:val="31"/>
        <w:keepNext w:val="0"/>
        <w:keepLines w:val="0"/>
        <w:pageBreakBefore w:val="0"/>
        <w:widowControl w:val="0"/>
        <w:kinsoku/>
        <w:wordWrap/>
        <w:overflowPunct/>
        <w:topLinePunct w:val="0"/>
        <w:autoSpaceDE/>
        <w:autoSpaceDN/>
        <w:bidi w:val="0"/>
        <w:adjustRightInd/>
        <w:snapToGrid/>
        <w:spacing w:line="440" w:lineRule="exact"/>
        <w:ind w:firstLine="96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14.2.2其他情形</w:t>
      </w:r>
    </w:p>
    <w:p w14:paraId="6C14274C">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采购包1：</w:t>
      </w:r>
    </w:p>
    <w:p w14:paraId="5446949B">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bl>
      <w:tblPr>
        <w:tblStyle w:val="19"/>
        <w:tblW w:w="94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6"/>
        <w:gridCol w:w="7994"/>
      </w:tblGrid>
      <w:tr w14:paraId="0CCB3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2B81EEB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w:t>
            </w:r>
          </w:p>
        </w:tc>
        <w:tc>
          <w:tcPr>
            <w:tcW w:w="7994" w:type="dxa"/>
            <w:vAlign w:val="center"/>
          </w:tcPr>
          <w:p w14:paraId="6DDC5F0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明细</w:t>
            </w:r>
          </w:p>
        </w:tc>
      </w:tr>
      <w:tr w14:paraId="799B0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00713F0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c>
        <w:tc>
          <w:tcPr>
            <w:tcW w:w="7994" w:type="dxa"/>
            <w:vAlign w:val="center"/>
          </w:tcPr>
          <w:p w14:paraId="792B7C7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不满足第三章“采购内容及要求”“二、技术和服务要求”的，按无效响应处理。（谈判小组可以根据谈判文件和谈判情况实质性变动采购需求中的技术、服务要求以及合同草案条款，但不得变动谈判文件中的其他内容。实质性变动的内容，须经采购人代表确认。）</w:t>
            </w:r>
          </w:p>
        </w:tc>
      </w:tr>
      <w:tr w14:paraId="29FDB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2B28AEC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c>
        <w:tc>
          <w:tcPr>
            <w:tcW w:w="7994" w:type="dxa"/>
            <w:vAlign w:val="center"/>
          </w:tcPr>
          <w:p w14:paraId="217C0ED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响应文件未按照谈判文件规定要求进行编制、签署、盖章的；</w:t>
            </w:r>
          </w:p>
        </w:tc>
      </w:tr>
      <w:tr w14:paraId="29626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3BE5AC4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c>
        <w:tc>
          <w:tcPr>
            <w:tcW w:w="7994" w:type="dxa"/>
            <w:vAlign w:val="center"/>
          </w:tcPr>
          <w:p w14:paraId="2FAAD6B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响应内容与采购内容及要求有重大偏离或保留的；</w:t>
            </w:r>
          </w:p>
        </w:tc>
      </w:tr>
      <w:tr w14:paraId="22B96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1E56427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c>
        <w:tc>
          <w:tcPr>
            <w:tcW w:w="7994" w:type="dxa"/>
            <w:vAlign w:val="center"/>
          </w:tcPr>
          <w:p w14:paraId="159485F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响应文件中提供虚假或失实资料的；</w:t>
            </w:r>
          </w:p>
        </w:tc>
      </w:tr>
      <w:tr w14:paraId="389EF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1B5A3C3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技术符合性</w:t>
            </w:r>
          </w:p>
        </w:tc>
        <w:tc>
          <w:tcPr>
            <w:tcW w:w="7994" w:type="dxa"/>
            <w:vAlign w:val="center"/>
          </w:tcPr>
          <w:p w14:paraId="537E6C4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不符合谈判文件中规定的其它实质性要求条款的。</w:t>
            </w:r>
          </w:p>
        </w:tc>
      </w:tr>
    </w:tbl>
    <w:p w14:paraId="18111745">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bl>
      <w:tblPr>
        <w:tblStyle w:val="19"/>
        <w:tblW w:w="942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6"/>
        <w:gridCol w:w="7994"/>
      </w:tblGrid>
      <w:tr w14:paraId="3B44D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26EFBAE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情形</w:t>
            </w:r>
          </w:p>
        </w:tc>
        <w:tc>
          <w:tcPr>
            <w:tcW w:w="7994" w:type="dxa"/>
            <w:vAlign w:val="center"/>
          </w:tcPr>
          <w:p w14:paraId="1984063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明细</w:t>
            </w:r>
          </w:p>
        </w:tc>
      </w:tr>
      <w:tr w14:paraId="5A345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66CA1C8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c>
        <w:tc>
          <w:tcPr>
            <w:tcW w:w="7994" w:type="dxa"/>
            <w:vAlign w:val="center"/>
          </w:tcPr>
          <w:p w14:paraId="3041615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不满足第三章 采购内容及要求“三、商务条件”的，按无效响应处理。</w:t>
            </w:r>
          </w:p>
        </w:tc>
      </w:tr>
      <w:tr w14:paraId="45D11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299258D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c>
        <w:tc>
          <w:tcPr>
            <w:tcW w:w="7994" w:type="dxa"/>
            <w:vAlign w:val="center"/>
          </w:tcPr>
          <w:p w14:paraId="4C556FA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响应文件未按照谈判文件规定要求进行编制、签署、盖章的；</w:t>
            </w:r>
          </w:p>
        </w:tc>
      </w:tr>
      <w:tr w14:paraId="565C2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6E89871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c>
        <w:tc>
          <w:tcPr>
            <w:tcW w:w="7994" w:type="dxa"/>
            <w:vAlign w:val="center"/>
          </w:tcPr>
          <w:p w14:paraId="4912568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响应内容与采购内容及要求有重大偏离或保留的；</w:t>
            </w:r>
          </w:p>
        </w:tc>
      </w:tr>
      <w:tr w14:paraId="43EC0B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70E1EC8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c>
        <w:tc>
          <w:tcPr>
            <w:tcW w:w="7994" w:type="dxa"/>
            <w:vAlign w:val="center"/>
          </w:tcPr>
          <w:p w14:paraId="5B8289F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响应文件中提供虚假或失实资料的；</w:t>
            </w:r>
          </w:p>
        </w:tc>
      </w:tr>
      <w:tr w14:paraId="04310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rPr>
        <w:tc>
          <w:tcPr>
            <w:tcW w:w="1426" w:type="dxa"/>
            <w:vAlign w:val="center"/>
          </w:tcPr>
          <w:p w14:paraId="37835EC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商务符合性</w:t>
            </w:r>
          </w:p>
        </w:tc>
        <w:tc>
          <w:tcPr>
            <w:tcW w:w="7994" w:type="dxa"/>
            <w:vAlign w:val="center"/>
          </w:tcPr>
          <w:p w14:paraId="08336E6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不符合谈判文件中规定的其它实质性要求条款的。</w:t>
            </w:r>
          </w:p>
        </w:tc>
      </w:tr>
    </w:tbl>
    <w:p w14:paraId="7B420DF4">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14:paraId="7B6D7A9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7项。</w:t>
      </w:r>
    </w:p>
    <w:p w14:paraId="5C9EC01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14:paraId="1C19E48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14.6谈判文件能够详细列明采购标的的技术、服务要求的，谈判结束后，谈判小组应当要求所有继续参加谈判的供应商在规定时间内提交最后报价。属于《政府采购非招标采购方式管理办法》等相关法律法规及财政部门颁布的规范性文件允许的两家供应商进行竞争性谈判采购情形，则提交最后报价的供应商可以为2家。</w:t>
      </w:r>
    </w:p>
    <w:p w14:paraId="2401C64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19356F2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14:paraId="4D6B9A9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14.9谈判小组将从质量和服务均能满足采购文件实质性响应要求的供应商中，按照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14:paraId="666921E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14.10供应商提交的响应文件和资料将给予保密，但不退回（有关证件或证照的原件除外）。</w:t>
      </w:r>
    </w:p>
    <w:p w14:paraId="10FECA8E">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五、合同授予</w:t>
      </w:r>
    </w:p>
    <w:p w14:paraId="24B895DF">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15.授予合同的准则：</w:t>
      </w:r>
    </w:p>
    <w:p w14:paraId="4E0A1667">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15.1除不可抗力等因素外，合同将授予响应文件符合竞争性谈判文件要求，能够圆满地履行合同，且被谈判小组推荐为第一成交候选人的供应商。</w:t>
      </w:r>
    </w:p>
    <w:p w14:paraId="6BEE108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15.2 政府采购合同履行中，采购人需追加与合同标的相同的货物、工程或者服务的，在不改变合同其他条款的前提下，可以与成交供应商协商签订补充合同，但所有补充合同的采购金额不得超过原合同采购金额的</w:t>
      </w:r>
      <w:r>
        <w:rPr>
          <w:rFonts w:hint="eastAsia" w:asciiTheme="minorEastAsia" w:hAnsiTheme="minorEastAsia" w:eastAsiaTheme="minorEastAsia" w:cstheme="minorEastAsia"/>
          <w:bCs/>
          <w:color w:val="auto"/>
          <w:sz w:val="24"/>
          <w:szCs w:val="24"/>
          <w:highlight w:val="none"/>
          <w:lang w:eastAsia="zh-CN"/>
        </w:rPr>
        <w:t>10%</w:t>
      </w:r>
      <w:r>
        <w:rPr>
          <w:rFonts w:hint="eastAsia" w:asciiTheme="minorEastAsia" w:hAnsiTheme="minorEastAsia" w:eastAsiaTheme="minorEastAsia" w:cstheme="minorEastAsia"/>
          <w:bCs/>
          <w:color w:val="auto"/>
          <w:sz w:val="24"/>
          <w:szCs w:val="24"/>
          <w:highlight w:val="none"/>
        </w:rPr>
        <w:t>。</w:t>
      </w:r>
    </w:p>
    <w:p w14:paraId="157009F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15.3为维护国家利益和社会公共利益，最低报价不是被授予合同的绝对保证。</w:t>
      </w:r>
    </w:p>
    <w:p w14:paraId="47E9BA30">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16.确定成交供应商：</w:t>
      </w:r>
    </w:p>
    <w:p w14:paraId="0BF6F13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16.1采购人委托代理机构组织竞争性谈判采购活动的，采购代理机构在评审结束后2个工作日内将评审报告送采购人确认。</w:t>
      </w:r>
    </w:p>
    <w:p w14:paraId="343321D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14:paraId="4CDFD448">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17.成交通知</w:t>
      </w:r>
      <w:r>
        <w:rPr>
          <w:rFonts w:hint="eastAsia" w:asciiTheme="minorEastAsia" w:hAnsiTheme="minorEastAsia" w:eastAsiaTheme="minorEastAsia" w:cstheme="minorEastAsia"/>
          <w:bCs/>
          <w:color w:val="auto"/>
          <w:sz w:val="24"/>
          <w:szCs w:val="24"/>
          <w:highlight w:val="none"/>
          <w:lang w:eastAsia="zh-CN"/>
        </w:rPr>
        <w:t>：</w:t>
      </w:r>
    </w:p>
    <w:p w14:paraId="4154D650">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14:paraId="0372BADB">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052476D9">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18.签订合同：</w:t>
      </w:r>
    </w:p>
    <w:p w14:paraId="5AF87CD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18.1采购人与成交供应商应详见须知前附表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14:paraId="1A21873B">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18.2竞争性谈判文件、成交供应商的响应文件及其有关澄清承诺文件等，均为签订政府采购合同的依据和组成部分。</w:t>
      </w:r>
    </w:p>
    <w:p w14:paraId="5C3831CF">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14:paraId="5E1BABF6">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六、询问、质疑与投诉</w:t>
      </w:r>
    </w:p>
    <w:p w14:paraId="29154884">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19.询问</w:t>
      </w:r>
    </w:p>
    <w:p w14:paraId="3D2167E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19.1潜在供应商或供应商对本次采购活动的有关事项若有疑问，可向采购人或采购代理机构提出询问，采购人或采购代理机构将按照政府采购法及实施条例的有关规定进行答复。</w:t>
      </w:r>
    </w:p>
    <w:p w14:paraId="7DDD37CB">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20.质疑</w:t>
      </w:r>
    </w:p>
    <w:p w14:paraId="31101321">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20.1质疑应在政府采购法及实施条例规定的时效内提出，并符合下列条件：</w:t>
      </w:r>
    </w:p>
    <w:p w14:paraId="65E0992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20.1.1对谈判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14:paraId="30C4EA18">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20.1.2质疑人应提交质疑函原件。</w:t>
      </w:r>
    </w:p>
    <w:p w14:paraId="6B70EF7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20.1.3质疑函应包括下列主要内容：</w:t>
      </w:r>
    </w:p>
    <w:p w14:paraId="5D89748A">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49960C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②所质疑项目的基本信息，至少包括：项目编号、项目名称等；</w:t>
      </w:r>
    </w:p>
    <w:p w14:paraId="1FFDD87A">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③所质疑的具体事项（以下简称：“质疑事项”）；</w:t>
      </w:r>
    </w:p>
    <w:p w14:paraId="12D652A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④质疑人自身权益受到损害的事实依据和证明材料，至少包括：</w:t>
      </w:r>
    </w:p>
    <w:p w14:paraId="555682A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a1所质疑的具体事项事实存在的证明材料；</w:t>
      </w:r>
    </w:p>
    <w:p w14:paraId="0FE2AE7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a2所质疑的具体事项事实导致质疑人自身权益受到损害的证明材料，如：采购文件、采购过程或成交结果违法违规，损害</w:t>
      </w:r>
      <w:r>
        <w:rPr>
          <w:rFonts w:hint="eastAsia" w:asciiTheme="minorEastAsia" w:hAnsiTheme="minorEastAsia" w:eastAsiaTheme="minorEastAsia" w:cstheme="minorEastAsia"/>
          <w:bCs/>
          <w:color w:val="auto"/>
          <w:sz w:val="24"/>
          <w:szCs w:val="24"/>
          <w:highlight w:val="none"/>
          <w:lang w:eastAsia="zh-CN"/>
        </w:rPr>
        <w:t>自己</w:t>
      </w:r>
      <w:r>
        <w:rPr>
          <w:rFonts w:hint="eastAsia" w:asciiTheme="minorEastAsia" w:hAnsiTheme="minorEastAsia" w:eastAsiaTheme="minorEastAsia" w:cstheme="minorEastAsia"/>
          <w:bCs/>
          <w:color w:val="auto"/>
          <w:sz w:val="24"/>
          <w:szCs w:val="24"/>
          <w:highlight w:val="none"/>
        </w:rPr>
        <w:t>合法权益等证明材料；</w:t>
      </w:r>
    </w:p>
    <w:p w14:paraId="3D636C3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1B2B51B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⑤针对质疑事项提出的明确请求和法律依据，</w:t>
      </w:r>
    </w:p>
    <w:p w14:paraId="2BEC6E1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14:paraId="6EAF19E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⑥提出质疑的日期以及质疑人代表联系方式，至少包括：姓名、手机、电子信箱、邮寄地址等。</w:t>
      </w:r>
    </w:p>
    <w:p w14:paraId="2EE38CB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20.2对不符合前文第20.1条规定的质疑，采购人或采购代理机构将按照下列规定进行处理：</w:t>
      </w:r>
    </w:p>
    <w:p w14:paraId="0F12620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20.2.1超过质疑时效提交的或者质疑人不是直接参与所质疑项目采购活动的供应商，书面告知质疑人其质疑不成立的原因和理由。</w:t>
      </w:r>
    </w:p>
    <w:p w14:paraId="67279DE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12706B2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20.2.3质疑人修改、补充质疑函超过质疑时效提交的按20.2.1款处理。供应商提交质疑函时，要认真阅读本章第20条关于质疑的相关规定，以免内容或资料不齐，需要修改补充而延误时间。</w:t>
      </w:r>
    </w:p>
    <w:p w14:paraId="7735272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20.3对符合前文第20.1条规定的质疑，采购人或采购代理机构将按照政府采购法及实施条例的有关规定进行答复。</w:t>
      </w:r>
    </w:p>
    <w:p w14:paraId="3B5AB3A3">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21.投诉</w:t>
      </w:r>
    </w:p>
    <w:p w14:paraId="78E13D1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21.1若对质疑答复不满意或质疑答复未在答复期限内作出，质疑人可在答复期限届满之日起15个工作日内向谈判文件中载明的监督管理部门投诉。</w:t>
      </w:r>
    </w:p>
    <w:p w14:paraId="1C6840DC">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21.2投诉应有明确的请求和必要的证明材料，投诉的事项不得超出已质疑事项的范围。</w:t>
      </w:r>
    </w:p>
    <w:p w14:paraId="6F77377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七、有关信息公告和监督部门</w:t>
      </w:r>
    </w:p>
    <w:p w14:paraId="35C37226">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22.政府采购信息公告媒体</w:t>
      </w:r>
    </w:p>
    <w:p w14:paraId="061C15D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14:paraId="734B3B5B">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22.2信息公告指定媒体：详见竞争性谈判须知前附表第8项。</w:t>
      </w:r>
    </w:p>
    <w:p w14:paraId="0596F676">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23.监督管理部门</w:t>
      </w:r>
    </w:p>
    <w:p w14:paraId="0BD9D80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23.1谈判采购活动的监督管理部门详见竞争性谈判须知前附表第9项。</w:t>
      </w:r>
    </w:p>
    <w:p w14:paraId="0E553A67">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八、政府采购政策</w:t>
      </w:r>
    </w:p>
    <w:p w14:paraId="2EBFA1B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24、政府采购政策由财政部根据国家的经济和社会发展政策并会同国家有关部委制定，包括但不限于下列管理办法或措施：</w:t>
      </w:r>
    </w:p>
    <w:p w14:paraId="27C8A27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24.1进口产品指通过中国海关报关验放进入中国境内且产自关境外的产品，其中：</w:t>
      </w:r>
    </w:p>
    <w:p w14:paraId="22065B5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EB61B1D">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（2）凡在海关特殊监管区域内企业生产或加工（包括从境外进口料件）销往境内其他地区的产品，不作为政府采购项下进口产品。</w:t>
      </w:r>
    </w:p>
    <w:p w14:paraId="215EC9E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（3）对从境外进入海关特殊监管区域，再经办理报关手续后从海关特殊监管区进入境内其他地区的产品，认定为进口产品。</w:t>
      </w:r>
    </w:p>
    <w:p w14:paraId="3A2B76AE">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（4）谈判文件列明不允许或未列明允许进口产品参加报价的，均视为拒绝进口产品参加报价。</w:t>
      </w:r>
    </w:p>
    <w:p w14:paraId="472DE96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14:paraId="598B423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50EF2B9">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（1）中小企业指符合下列条件的中型、小型、微型企业：</w:t>
      </w:r>
    </w:p>
    <w:p w14:paraId="64A4FE1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52F8CBA9">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②符合中小企业划分标准的个体工商户，在政府采购活动中视同中小企业。</w:t>
      </w:r>
    </w:p>
    <w:p w14:paraId="5B13495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（2）在政府采购活动中，供应商提供的货物、工程或者服务符合下列情形的，享受本办法规定的中小企业扶持政策：</w:t>
      </w:r>
    </w:p>
    <w:p w14:paraId="33DDD118">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①在货物采购项目中，货物由中小企业制造，即货物由中小企业生产且使用该中小企业商号或者注册商标；</w:t>
      </w:r>
    </w:p>
    <w:p w14:paraId="63D59F76">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②在工程采购项目中，工程由中小企业承建，即工程施工单位为中小企业；</w:t>
      </w:r>
    </w:p>
    <w:p w14:paraId="4A2B343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③在服务采购项目中，服务由中小企业承接，即提供服务的人员为中小企业依照《中华人民共和国劳动合同法》 订立劳动合同的从业人员。</w:t>
      </w:r>
    </w:p>
    <w:p w14:paraId="28040E8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在货物采购项目中，供应商提供的货物既有中小企业制造货物，也有大型企业制造货物的，不享受本办法规定的中小企业扶持政策。</w:t>
      </w:r>
    </w:p>
    <w:p w14:paraId="1287E8B5">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以联合体形式参加政府采购活动，联合体各方均为中小企业的，联合体视同中小企业。其中，联合体各方均为小微企业的，联合体视同小微企业。</w:t>
      </w:r>
    </w:p>
    <w:p w14:paraId="04BC24BB">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（3）供应商应当按照谈判文件明确的采购标的对应行业的划分标准出具中小企业声明函。</w:t>
      </w:r>
    </w:p>
    <w:p w14:paraId="68ED82E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E69AB1A">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4241A00">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①监狱企业参加采购活动时，应提供由省级以上监狱管理局、戒毒管理局（含新疆生产建设兵团）出具的属于监狱企业的证明文件。</w:t>
      </w:r>
    </w:p>
    <w:p w14:paraId="00ECD5D0">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②监狱企业视同小型、微型企业。</w:t>
      </w:r>
    </w:p>
    <w:p w14:paraId="29A2B8A1">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（5）残疾人福利性单位指同时符合下列条件的单位：</w:t>
      </w:r>
    </w:p>
    <w:p w14:paraId="50F5E038">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①安置的残疾人占本单位在职职工人数的比例不低于25%（含25%），并且安置的残疾人人数不少于10人（含10人）；</w:t>
      </w:r>
    </w:p>
    <w:p w14:paraId="774B1A1C">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②依法与安置的每位残疾人签订了一年以上（含一年）的劳动合同或服务协议；</w:t>
      </w:r>
    </w:p>
    <w:p w14:paraId="64E8D13F">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③为安置的每位残疾人按月足额缴纳了基本养老保险、基本医疗保险、失业保险、工伤保险和生育保险等社会保险费；</w:t>
      </w:r>
    </w:p>
    <w:p w14:paraId="72A66054">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④通过银行等金融机构向安置的每位残疾人，按月支付了不低于单位所在区县适用的经省级人民政府批准的月最低工资标准的工资；</w:t>
      </w:r>
    </w:p>
    <w:p w14:paraId="33D070B2">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⑤提供本单位制造的货物、承担的工程或服务，或提供其他残疾人福利性单位制造的货物（不包括使用非残疾人福利性单位注册商标的货物）。</w:t>
      </w:r>
    </w:p>
    <w:p w14:paraId="5D5FFA21">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2890F2B3">
      <w:pPr>
        <w:pStyle w:val="31"/>
        <w:keepNext w:val="0"/>
        <w:keepLines w:val="0"/>
        <w:pageBreakBefore w:val="0"/>
        <w:widowControl w:val="0"/>
        <w:kinsoku/>
        <w:wordWrap/>
        <w:overflowPunct/>
        <w:topLinePunct w:val="0"/>
        <w:autoSpaceDE/>
        <w:autoSpaceDN/>
        <w:bidi w:val="0"/>
        <w:adjustRightInd/>
        <w:snapToGrid/>
        <w:spacing w:line="440" w:lineRule="exact"/>
        <w:ind w:firstLine="96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47570E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24.4供应商按采购文件约定进行工程设计、施工，并采购或使用符合《绿色建筑和绿色建材政府采购需求标准》要求的绿色建材。</w:t>
      </w:r>
    </w:p>
    <w:p w14:paraId="7415DF3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24.5信用记录指由财政部确定的有关网站提供的相关主体信用信息。信用记录的查询及使用应符合财政部文件（财库[2016]125号）规定。</w:t>
      </w:r>
    </w:p>
    <w:p w14:paraId="2B37E21A">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九、根据采购项目特点或政策需要补充的其他内容</w:t>
      </w:r>
    </w:p>
    <w:p w14:paraId="7FD66AD5">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w:t>
      </w: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bCs/>
          <w:color w:val="auto"/>
          <w:sz w:val="24"/>
          <w:szCs w:val="24"/>
          <w:highlight w:val="none"/>
        </w:rPr>
        <w:t>.履约保证金</w:t>
      </w:r>
    </w:p>
    <w:p w14:paraId="3D0AEDF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25</w:t>
      </w:r>
      <w:r>
        <w:rPr>
          <w:rFonts w:hint="eastAsia" w:asciiTheme="minorEastAsia" w:hAnsiTheme="minorEastAsia" w:eastAsiaTheme="minorEastAsia" w:cstheme="minorEastAsia"/>
          <w:bCs/>
          <w:color w:val="auto"/>
          <w:sz w:val="24"/>
          <w:szCs w:val="24"/>
          <w:highlight w:val="none"/>
        </w:rPr>
        <w:t>.1采购人可以根据项目特点和需要，确定是否要求成交供应商在合同签订前，按照谈判文件规定的时间、形式、金额提交履约保证金，履约保证金的数额不超过中标合同金额的10%，具体详见竞争性谈判须知前附表第10项规定。</w:t>
      </w:r>
    </w:p>
    <w:p w14:paraId="090820C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25</w:t>
      </w:r>
      <w:r>
        <w:rPr>
          <w:rFonts w:hint="eastAsia" w:asciiTheme="minorEastAsia" w:hAnsiTheme="minorEastAsia" w:eastAsiaTheme="minorEastAsia" w:cstheme="minorEastAsia"/>
          <w:bCs/>
          <w:color w:val="auto"/>
          <w:sz w:val="24"/>
          <w:szCs w:val="24"/>
          <w:highlight w:val="none"/>
        </w:rPr>
        <w:t>.2谈判文件要求在合同签订前提交履约保证金，如果成交供应商无故拖延或者拒不提交履约保证金的，则视为成交供应商拒绝与采购人签订合同，该成交供应商将承担违法行为的法律责任。</w:t>
      </w:r>
    </w:p>
    <w:p w14:paraId="3B727B90">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.其他新增内容：</w:t>
      </w:r>
    </w:p>
    <w:p w14:paraId="2588BE5B">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.1根据采购项目特点或政策需要补充的其他新增内容详见竞争性谈判须知前附表第11项。</w:t>
      </w:r>
    </w:p>
    <w:p w14:paraId="54A8E996">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26</w:t>
      </w:r>
      <w:r>
        <w:rPr>
          <w:rFonts w:hint="eastAsia" w:asciiTheme="minorEastAsia" w:hAnsiTheme="minorEastAsia" w:eastAsiaTheme="minorEastAsia" w:cstheme="minorEastAsia"/>
          <w:color w:val="auto"/>
          <w:sz w:val="24"/>
          <w:szCs w:val="24"/>
          <w:highlight w:val="none"/>
        </w:rPr>
        <w:t>.2本项目中如涉及商品包装和快递包装的，其包装需求标准应不低于《关于印发〈商品包装政府采购需求标准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试行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〉、〈快递包装政府采购需求标准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试行</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〉的通知》（财办库〔2020〕 123号）规定的包装要求，其他包装需求详见采购文件具体规定。采购人、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双方签订合同及验收环节，应包含上述包装要求的条款。</w:t>
      </w:r>
    </w:p>
    <w:p w14:paraId="2E7AA50C">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color w:val="0000FF"/>
          <w:sz w:val="24"/>
          <w:szCs w:val="24"/>
          <w:highlight w:val="none"/>
        </w:rPr>
        <w:sectPr>
          <w:pgSz w:w="11906" w:h="16838"/>
          <w:pgMar w:top="1417" w:right="1417" w:bottom="1417" w:left="1417" w:header="851" w:footer="992" w:gutter="0"/>
          <w:cols w:space="0" w:num="1"/>
          <w:rtlGutter w:val="0"/>
          <w:docGrid w:type="lines" w:linePitch="312" w:charSpace="0"/>
        </w:sectPr>
      </w:pPr>
    </w:p>
    <w:p w14:paraId="6AFED244">
      <w:pPr>
        <w:pStyle w:val="31"/>
        <w:jc w:val="center"/>
        <w:outlineLvl w:val="0"/>
        <w:rPr>
          <w:rFonts w:hint="default" w:ascii="宋体" w:hAnsi="宋体" w:eastAsia="宋体" w:cs="宋体"/>
          <w:b/>
          <w:color w:val="auto"/>
          <w:sz w:val="36"/>
          <w:highlight w:val="none"/>
        </w:rPr>
      </w:pPr>
      <w:bookmarkStart w:id="6" w:name="_Toc2217"/>
      <w:r>
        <w:rPr>
          <w:rFonts w:ascii="宋体" w:hAnsi="宋体" w:eastAsia="宋体" w:cs="宋体"/>
          <w:b/>
          <w:color w:val="auto"/>
          <w:sz w:val="36"/>
          <w:highlight w:val="none"/>
        </w:rPr>
        <w:t>第三章  采购内容及要求</w:t>
      </w:r>
      <w:bookmarkEnd w:id="6"/>
    </w:p>
    <w:p w14:paraId="44DE2D2B">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一、项目概况</w:t>
      </w:r>
    </w:p>
    <w:p w14:paraId="1B2C3DD6">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1.</w:t>
      </w:r>
      <w:r>
        <w:rPr>
          <w:rFonts w:hint="eastAsia" w:asciiTheme="minorEastAsia" w:hAnsiTheme="minorEastAsia" w:eastAsiaTheme="minorEastAsia" w:cstheme="minorEastAsia"/>
          <w:bCs/>
          <w:color w:val="auto"/>
          <w:sz w:val="24"/>
          <w:szCs w:val="24"/>
          <w:highlight w:val="none"/>
        </w:rPr>
        <w:t>本项目为</w:t>
      </w:r>
      <w:r>
        <w:rPr>
          <w:rFonts w:hint="eastAsia" w:asciiTheme="minorEastAsia" w:hAnsiTheme="minorEastAsia" w:eastAsiaTheme="minorEastAsia" w:cstheme="minorEastAsia"/>
          <w:bCs/>
          <w:color w:val="auto"/>
          <w:sz w:val="24"/>
          <w:szCs w:val="24"/>
          <w:highlight w:val="none"/>
          <w:lang w:eastAsia="zh-CN"/>
        </w:rPr>
        <w:t>福建省病犯监狱（福建省建新医院）一标段智能化系统采购项目配套测试测评服务项目</w:t>
      </w:r>
      <w:r>
        <w:rPr>
          <w:rFonts w:hint="eastAsia" w:asciiTheme="minorEastAsia" w:hAnsiTheme="minorEastAsia" w:eastAsiaTheme="minorEastAsia" w:cstheme="minorEastAsia"/>
          <w:bCs/>
          <w:color w:val="auto"/>
          <w:sz w:val="24"/>
          <w:szCs w:val="24"/>
          <w:highlight w:val="none"/>
        </w:rPr>
        <w:t>。具体内容包括系统测试</w:t>
      </w:r>
      <w:r>
        <w:rPr>
          <w:rFonts w:hint="eastAsia" w:asciiTheme="minorEastAsia" w:hAnsiTheme="minorEastAsia" w:eastAsiaTheme="minorEastAsia" w:cstheme="minorEastAsia"/>
          <w:bCs/>
          <w:color w:val="auto"/>
          <w:sz w:val="24"/>
          <w:szCs w:val="24"/>
          <w:highlight w:val="none"/>
          <w:lang w:eastAsia="zh-CN"/>
        </w:rPr>
        <w:t>、等保测评、商用密评、信创符合性测试</w:t>
      </w:r>
      <w:r>
        <w:rPr>
          <w:rFonts w:hint="eastAsia" w:asciiTheme="minorEastAsia" w:hAnsiTheme="minorEastAsia" w:eastAsiaTheme="minorEastAsia" w:cstheme="minorEastAsia"/>
          <w:bCs/>
          <w:color w:val="auto"/>
          <w:sz w:val="24"/>
          <w:szCs w:val="24"/>
          <w:highlight w:val="none"/>
        </w:rPr>
        <w:t>等服务</w:t>
      </w:r>
      <w:r>
        <w:rPr>
          <w:rFonts w:hint="eastAsia" w:asciiTheme="minorEastAsia" w:hAnsiTheme="minorEastAsia" w:eastAsiaTheme="minorEastAsia" w:cstheme="minorEastAsia"/>
          <w:bCs/>
          <w:color w:val="auto"/>
          <w:sz w:val="24"/>
          <w:szCs w:val="24"/>
          <w:highlight w:val="none"/>
          <w:lang w:val="en-US" w:eastAsia="zh-CN"/>
        </w:rPr>
        <w:t>及采购人要求的其它相关内容</w:t>
      </w:r>
      <w:r>
        <w:rPr>
          <w:rFonts w:hint="eastAsia" w:asciiTheme="minorEastAsia" w:hAnsiTheme="minorEastAsia" w:eastAsiaTheme="minorEastAsia" w:cstheme="minorEastAsia"/>
          <w:bCs/>
          <w:color w:val="auto"/>
          <w:sz w:val="24"/>
          <w:szCs w:val="24"/>
          <w:highlight w:val="none"/>
        </w:rPr>
        <w:t>。服务成果须取得并提交</w:t>
      </w:r>
      <w:r>
        <w:rPr>
          <w:rFonts w:hint="eastAsia" w:asciiTheme="minorEastAsia" w:hAnsiTheme="minorEastAsia" w:eastAsiaTheme="minorEastAsia" w:cstheme="minorEastAsia"/>
          <w:bCs/>
          <w:color w:val="auto"/>
          <w:sz w:val="24"/>
          <w:szCs w:val="24"/>
          <w:highlight w:val="none"/>
          <w:lang w:eastAsia="zh-CN"/>
        </w:rPr>
        <w:t>国家认可的检测机构</w:t>
      </w:r>
      <w:r>
        <w:rPr>
          <w:rFonts w:hint="eastAsia" w:asciiTheme="minorEastAsia" w:hAnsiTheme="minorEastAsia" w:eastAsiaTheme="minorEastAsia" w:cstheme="minorEastAsia"/>
          <w:bCs/>
          <w:color w:val="auto"/>
          <w:sz w:val="24"/>
          <w:szCs w:val="24"/>
          <w:highlight w:val="none"/>
        </w:rPr>
        <w:t>、等级保护测评机构、商用密码应用安全性评估机构</w:t>
      </w:r>
      <w:r>
        <w:rPr>
          <w:rFonts w:hint="eastAsia" w:asciiTheme="minorEastAsia" w:hAnsiTheme="minorEastAsia" w:eastAsiaTheme="minorEastAsia" w:cstheme="minorEastAsia"/>
          <w:bCs/>
          <w:color w:val="auto"/>
          <w:sz w:val="24"/>
          <w:szCs w:val="24"/>
          <w:highlight w:val="none"/>
          <w:lang w:val="en-US" w:eastAsia="zh-CN"/>
        </w:rPr>
        <w:t>及</w:t>
      </w:r>
      <w:r>
        <w:rPr>
          <w:rFonts w:hint="eastAsia" w:asciiTheme="minorEastAsia" w:hAnsiTheme="minorEastAsia" w:eastAsiaTheme="minorEastAsia" w:cstheme="minorEastAsia"/>
          <w:bCs/>
          <w:color w:val="auto"/>
          <w:sz w:val="24"/>
          <w:szCs w:val="24"/>
          <w:highlight w:val="none"/>
        </w:rPr>
        <w:t>信创符合性测试机构出具的符合国家网络安全和相关法律法规要求的系统测试报告、网络安全等级保护测评报告、商用密码应用安全性评估报告以及信创符合性测试报告</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以及采购人要求出具的相关报告或资料</w:t>
      </w:r>
      <w:r>
        <w:rPr>
          <w:rFonts w:hint="eastAsia" w:asciiTheme="minorEastAsia" w:hAnsiTheme="minorEastAsia" w:eastAsiaTheme="minorEastAsia" w:cstheme="minorEastAsia"/>
          <w:bCs/>
          <w:color w:val="auto"/>
          <w:sz w:val="24"/>
          <w:szCs w:val="24"/>
          <w:highlight w:val="none"/>
        </w:rPr>
        <w:t>。</w:t>
      </w:r>
    </w:p>
    <w:p w14:paraId="34E49042">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根据《市场监管总局关于对检验检测机构资质认定实施“一单一库”管理的公告》（2026年第14号），本采购文件中要求</w:t>
      </w:r>
      <w:r>
        <w:rPr>
          <w:rFonts w:hint="eastAsia" w:asciiTheme="minorEastAsia" w:hAnsiTheme="minorEastAsia" w:eastAsiaTheme="minorEastAsia" w:cstheme="minorEastAsia"/>
          <w:color w:val="auto"/>
          <w:sz w:val="24"/>
          <w:szCs w:val="24"/>
          <w:highlight w:val="none"/>
          <w:lang w:val="en-US" w:eastAsia="zh-CN"/>
        </w:rPr>
        <w:t>测试后出具的</w:t>
      </w:r>
      <w:r>
        <w:rPr>
          <w:rFonts w:hint="eastAsia" w:asciiTheme="minorEastAsia" w:hAnsiTheme="minorEastAsia" w:eastAsiaTheme="minorEastAsia" w:cstheme="minorEastAsia"/>
          <w:color w:val="auto"/>
          <w:sz w:val="24"/>
          <w:szCs w:val="24"/>
          <w:highlight w:val="none"/>
          <w:lang w:eastAsia="zh-CN"/>
        </w:rPr>
        <w:t>检验（测）报告，若检测范围不在“一单一库”管理的范围内，供应商提供的检验（测）报告无须带CMA标识，视为满足要求。供应商应对其提供的检验（测）报告的真实性、合规性负责。</w:t>
      </w:r>
      <w:r>
        <w:rPr>
          <w:rFonts w:hint="eastAsia" w:asciiTheme="minorEastAsia" w:hAnsiTheme="minorEastAsia" w:eastAsiaTheme="minorEastAsia" w:cstheme="minorEastAsia"/>
          <w:color w:val="auto"/>
          <w:sz w:val="24"/>
          <w:szCs w:val="24"/>
          <w:highlight w:val="none"/>
          <w:lang w:val="en-US" w:eastAsia="zh-CN"/>
        </w:rPr>
        <w:t>若本项目所涉及的</w:t>
      </w:r>
      <w:r>
        <w:rPr>
          <w:rFonts w:hint="eastAsia" w:asciiTheme="minorEastAsia" w:hAnsiTheme="minorEastAsia" w:eastAsiaTheme="minorEastAsia" w:cstheme="minorEastAsia"/>
          <w:color w:val="auto"/>
          <w:sz w:val="24"/>
          <w:szCs w:val="24"/>
          <w:highlight w:val="none"/>
          <w:lang w:eastAsia="zh-CN"/>
        </w:rPr>
        <w:t>检测范围在“一单一库”管理的范围内，</w:t>
      </w:r>
      <w:r>
        <w:rPr>
          <w:rFonts w:hint="eastAsia" w:asciiTheme="minorEastAsia" w:hAnsiTheme="minorEastAsia" w:eastAsiaTheme="minorEastAsia" w:cstheme="minorEastAsia"/>
          <w:color w:val="auto"/>
          <w:sz w:val="24"/>
          <w:szCs w:val="24"/>
          <w:highlight w:val="none"/>
          <w:lang w:val="en-US" w:eastAsia="zh-CN"/>
        </w:rPr>
        <w:t>则须提交具有CMA标识的检测报告</w:t>
      </w:r>
      <w:r>
        <w:rPr>
          <w:rFonts w:hint="eastAsia" w:asciiTheme="minorEastAsia" w:hAnsiTheme="minorEastAsia" w:eastAsiaTheme="minorEastAsia" w:cstheme="minorEastAsia"/>
          <w:color w:val="auto"/>
          <w:sz w:val="24"/>
          <w:szCs w:val="24"/>
          <w:highlight w:val="none"/>
          <w:lang w:eastAsia="zh-CN"/>
        </w:rPr>
        <w:t>。</w:t>
      </w:r>
    </w:p>
    <w:p w14:paraId="079E9344">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智能化项目拟建系统包括但不限于：综合布线系统、计算机网络系统、信息中心机房、指挥情报中心、网络信息安全系统、UPS配电系统、视频监控系统、远程亲情视频电话系统、报警系统、周界防范系统、一卡通管理系统、监仓可视对讲系统、公共广播系统、会见系统、监舍用水控制系统、监舍智慧用电系统、智慧安检系统、医护对讲系统、电子时钟系统、信息引导及发布系统、LED大屏显示系统、多媒体会议系统、楼宇自控系统、无人机反制防御系统、智能化集成综合管理平台等。供应商应按要求开展系统测试、网络安全等级保护测评、商用密码应用安全性评估、信创符合性测试。</w:t>
      </w:r>
    </w:p>
    <w:p w14:paraId="3E409C1A">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注：以上为本项目总体概况及要求，</w:t>
      </w:r>
      <w:r>
        <w:rPr>
          <w:rFonts w:hint="eastAsia" w:asciiTheme="minorEastAsia" w:hAnsiTheme="minorEastAsia" w:eastAsiaTheme="minorEastAsia" w:cstheme="minorEastAsia"/>
          <w:b/>
          <w:color w:val="auto"/>
          <w:sz w:val="24"/>
          <w:szCs w:val="24"/>
          <w:highlight w:val="none"/>
          <w:lang w:eastAsia="zh-CN"/>
        </w:rPr>
        <w:t>供应商</w:t>
      </w:r>
      <w:r>
        <w:rPr>
          <w:rFonts w:hint="eastAsia" w:asciiTheme="minorEastAsia" w:hAnsiTheme="minorEastAsia" w:eastAsiaTheme="minorEastAsia" w:cstheme="minorEastAsia"/>
          <w:b/>
          <w:color w:val="auto"/>
          <w:sz w:val="24"/>
          <w:szCs w:val="24"/>
          <w:highlight w:val="none"/>
        </w:rPr>
        <w:t>参与本项目</w:t>
      </w:r>
      <w:r>
        <w:rPr>
          <w:rFonts w:hint="eastAsia" w:asciiTheme="minorEastAsia" w:hAnsiTheme="minorEastAsia" w:eastAsiaTheme="minorEastAsia" w:cstheme="minorEastAsia"/>
          <w:b/>
          <w:color w:val="auto"/>
          <w:sz w:val="24"/>
          <w:szCs w:val="24"/>
          <w:highlight w:val="none"/>
          <w:lang w:eastAsia="zh-CN"/>
        </w:rPr>
        <w:t>竞争性谈判活动</w:t>
      </w:r>
      <w:r>
        <w:rPr>
          <w:rFonts w:hint="eastAsia" w:asciiTheme="minorEastAsia" w:hAnsiTheme="minorEastAsia" w:eastAsiaTheme="minorEastAsia" w:cstheme="minorEastAsia"/>
          <w:b/>
          <w:color w:val="auto"/>
          <w:sz w:val="24"/>
          <w:szCs w:val="24"/>
          <w:highlight w:val="none"/>
        </w:rPr>
        <w:t>，即视为已确认并认可上述项目概况及相关条款，无须进行响应。</w:t>
      </w:r>
    </w:p>
    <w:p w14:paraId="4F901325">
      <w:pPr>
        <w:pStyle w:val="31"/>
        <w:keepNext w:val="0"/>
        <w:keepLines w:val="0"/>
        <w:pageBreakBefore w:val="0"/>
        <w:widowControl w:val="0"/>
        <w:kinsoku/>
        <w:wordWrap/>
        <w:overflowPunct/>
        <w:topLinePunct w:val="0"/>
        <w:autoSpaceDE/>
        <w:autoSpaceDN/>
        <w:bidi w:val="0"/>
        <w:adjustRightInd/>
        <w:snapToGrid/>
        <w:spacing w:line="440" w:lineRule="exact"/>
        <w:jc w:val="both"/>
        <w:textAlignment w:val="auto"/>
        <w:outlineLvl w:val="1"/>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二、技术和服务要求（</w:t>
      </w:r>
      <w:r>
        <w:rPr>
          <w:rFonts w:hint="eastAsia" w:asciiTheme="minorEastAsia" w:hAnsiTheme="minorEastAsia" w:eastAsiaTheme="minorEastAsia" w:cstheme="minorEastAsia"/>
          <w:b/>
          <w:color w:val="auto"/>
          <w:sz w:val="24"/>
          <w:szCs w:val="24"/>
          <w:highlight w:val="none"/>
          <w:lang w:eastAsia="zh-CN"/>
        </w:rPr>
        <w:t>本项所有内容均为不允许负偏离的实质性要求，若有负偏离按无效响应处理</w:t>
      </w:r>
      <w:r>
        <w:rPr>
          <w:rFonts w:hint="eastAsia" w:asciiTheme="minorEastAsia" w:hAnsiTheme="minorEastAsia" w:eastAsiaTheme="minorEastAsia" w:cstheme="minorEastAsia"/>
          <w:b/>
          <w:color w:val="auto"/>
          <w:sz w:val="24"/>
          <w:szCs w:val="24"/>
          <w:highlight w:val="none"/>
        </w:rPr>
        <w:t>）</w:t>
      </w:r>
    </w:p>
    <w:p w14:paraId="0958400C">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2" w:firstLineChars="200"/>
        <w:jc w:val="both"/>
        <w:textAlignment w:val="auto"/>
        <w:outlineLvl w:val="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（一）系统测试要求：</w:t>
      </w:r>
      <w:r>
        <w:rPr>
          <w:rFonts w:hint="eastAsia" w:asciiTheme="minorEastAsia" w:hAnsiTheme="minorEastAsia" w:eastAsiaTheme="minorEastAsia" w:cstheme="minorEastAsia"/>
          <w:color w:val="auto"/>
          <w:sz w:val="24"/>
          <w:szCs w:val="24"/>
          <w:highlight w:val="none"/>
          <w:lang w:val="en-US" w:eastAsia="zh-CN"/>
        </w:rPr>
        <w:t>本次测试要求涵盖病犯监狱一标段智能化采购项目软硬件系统的性能测试、功能测试、兼容性测试、安全测试、资源占用率、响应时间、可扩充性、故障恢复与容错测试以及用户体验测试等，通过专业工具和人工测试相结合的方式，全面验证应用系统各项设计指标实现的稳定性、可靠性、高效性和安全性。</w:t>
      </w:r>
    </w:p>
    <w:p w14:paraId="2F3CEF4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1</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测试计划</w:t>
      </w:r>
    </w:p>
    <w:p w14:paraId="4D7A347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eastAsia="zh-CN"/>
        </w:rPr>
      </w:pPr>
      <w:r>
        <w:rPr>
          <w:rFonts w:hint="eastAsia" w:asciiTheme="minorEastAsia" w:hAnsiTheme="minorEastAsia" w:eastAsiaTheme="minorEastAsia" w:cstheme="minorEastAsia"/>
          <w:color w:val="auto"/>
          <w:sz w:val="24"/>
          <w:szCs w:val="24"/>
          <w:highlight w:val="none"/>
          <w:shd w:val="clear" w:color="auto" w:fill="FFFFFF"/>
        </w:rPr>
        <w:t>为了保证项目的顺利实施，从功能度、性能、可靠性、易用性、兼容性、</w:t>
      </w:r>
      <w:r>
        <w:rPr>
          <w:rFonts w:hint="eastAsia" w:asciiTheme="minorEastAsia" w:hAnsiTheme="minorEastAsia" w:eastAsiaTheme="minorEastAsia" w:cstheme="minorEastAsia"/>
          <w:color w:val="auto"/>
          <w:sz w:val="24"/>
          <w:szCs w:val="24"/>
          <w:highlight w:val="none"/>
          <w:shd w:val="clear" w:color="auto" w:fill="FFFFFF"/>
          <w:lang w:val="en-US" w:eastAsia="zh-CN"/>
        </w:rPr>
        <w:t>信息安全性、</w:t>
      </w:r>
      <w:r>
        <w:rPr>
          <w:rFonts w:hint="eastAsia" w:asciiTheme="minorEastAsia" w:hAnsiTheme="minorEastAsia" w:eastAsiaTheme="minorEastAsia" w:cstheme="minorEastAsia"/>
          <w:color w:val="auto"/>
          <w:sz w:val="24"/>
          <w:szCs w:val="24"/>
          <w:highlight w:val="none"/>
          <w:shd w:val="clear" w:color="auto" w:fill="FFFFFF"/>
        </w:rPr>
        <w:t>可扩充性和用户文档等方面度量系统质量，项目测试初始，要依据有关的</w:t>
      </w:r>
      <w:r>
        <w:rPr>
          <w:rFonts w:hint="eastAsia" w:asciiTheme="minorEastAsia" w:hAnsiTheme="minorEastAsia" w:eastAsiaTheme="minorEastAsia" w:cstheme="minorEastAsia"/>
          <w:color w:val="auto"/>
          <w:sz w:val="24"/>
          <w:szCs w:val="24"/>
          <w:highlight w:val="none"/>
          <w:shd w:val="clear" w:color="auto" w:fill="FFFFFF"/>
          <w:lang w:eastAsia="zh-CN"/>
        </w:rPr>
        <w:t>谈判文件</w:t>
      </w:r>
      <w:r>
        <w:rPr>
          <w:rFonts w:hint="eastAsia" w:asciiTheme="minorEastAsia" w:hAnsiTheme="minorEastAsia" w:eastAsiaTheme="minorEastAsia" w:cstheme="minorEastAsia"/>
          <w:color w:val="auto"/>
          <w:sz w:val="24"/>
          <w:szCs w:val="24"/>
          <w:highlight w:val="none"/>
          <w:shd w:val="clear" w:color="auto" w:fill="FFFFFF"/>
        </w:rPr>
        <w:t>、</w:t>
      </w:r>
      <w:r>
        <w:rPr>
          <w:rFonts w:hint="eastAsia" w:asciiTheme="minorEastAsia" w:hAnsiTheme="minorEastAsia" w:eastAsiaTheme="minorEastAsia" w:cstheme="minorEastAsia"/>
          <w:color w:val="auto"/>
          <w:sz w:val="24"/>
          <w:szCs w:val="24"/>
          <w:highlight w:val="none"/>
          <w:shd w:val="clear" w:color="auto" w:fill="FFFFFF"/>
          <w:lang w:val="en-US" w:eastAsia="zh-CN"/>
        </w:rPr>
        <w:t>响应</w:t>
      </w:r>
      <w:r>
        <w:rPr>
          <w:rFonts w:hint="eastAsia" w:asciiTheme="minorEastAsia" w:hAnsiTheme="minorEastAsia" w:eastAsiaTheme="minorEastAsia" w:cstheme="minorEastAsia"/>
          <w:color w:val="auto"/>
          <w:sz w:val="24"/>
          <w:szCs w:val="24"/>
          <w:highlight w:val="none"/>
          <w:shd w:val="clear" w:color="auto" w:fill="FFFFFF"/>
        </w:rPr>
        <w:t>文件、合同和设计单位制定的技术规范书</w:t>
      </w:r>
      <w:r>
        <w:rPr>
          <w:rFonts w:hint="eastAsia" w:asciiTheme="minorEastAsia" w:hAnsiTheme="minorEastAsia" w:eastAsiaTheme="minorEastAsia" w:cstheme="minorEastAsia"/>
          <w:color w:val="auto"/>
          <w:sz w:val="24"/>
          <w:szCs w:val="24"/>
          <w:highlight w:val="none"/>
          <w:shd w:val="clear" w:color="auto" w:fill="FFFFFF"/>
          <w:lang w:eastAsia="zh-CN"/>
        </w:rPr>
        <w:t>（</w:t>
      </w:r>
      <w:r>
        <w:rPr>
          <w:rFonts w:hint="eastAsia" w:asciiTheme="minorEastAsia" w:hAnsiTheme="minorEastAsia" w:eastAsiaTheme="minorEastAsia" w:cstheme="minorEastAsia"/>
          <w:color w:val="auto"/>
          <w:sz w:val="24"/>
          <w:szCs w:val="24"/>
          <w:highlight w:val="none"/>
          <w:shd w:val="clear" w:color="auto" w:fill="FFFFFF"/>
          <w:lang w:val="en-US" w:eastAsia="zh-CN"/>
        </w:rPr>
        <w:t>技术需求书</w:t>
      </w:r>
      <w:r>
        <w:rPr>
          <w:rFonts w:hint="eastAsia" w:asciiTheme="minorEastAsia" w:hAnsiTheme="minorEastAsia" w:eastAsiaTheme="minorEastAsia" w:cstheme="minorEastAsia"/>
          <w:color w:val="auto"/>
          <w:sz w:val="24"/>
          <w:szCs w:val="24"/>
          <w:highlight w:val="none"/>
          <w:shd w:val="clear" w:color="auto" w:fill="FFFFFF"/>
          <w:lang w:eastAsia="zh-CN"/>
        </w:rPr>
        <w:t>）</w:t>
      </w:r>
      <w:r>
        <w:rPr>
          <w:rFonts w:hint="eastAsia" w:asciiTheme="minorEastAsia" w:hAnsiTheme="minorEastAsia" w:eastAsiaTheme="minorEastAsia" w:cstheme="minorEastAsia"/>
          <w:color w:val="auto"/>
          <w:sz w:val="24"/>
          <w:szCs w:val="24"/>
          <w:highlight w:val="none"/>
          <w:shd w:val="clear" w:color="auto" w:fill="FFFFFF"/>
        </w:rPr>
        <w:t>，对项目需要投入的测试人员、测试时间以及测试的内容进行安排</w:t>
      </w:r>
      <w:r>
        <w:rPr>
          <w:rFonts w:hint="eastAsia" w:asciiTheme="minorEastAsia" w:hAnsiTheme="minorEastAsia" w:eastAsiaTheme="minorEastAsia" w:cstheme="minorEastAsia"/>
          <w:color w:val="auto"/>
          <w:sz w:val="24"/>
          <w:szCs w:val="24"/>
          <w:highlight w:val="none"/>
          <w:shd w:val="clear" w:color="auto" w:fill="FFFFFF"/>
          <w:lang w:eastAsia="zh-CN"/>
        </w:rPr>
        <w:t>。</w:t>
      </w:r>
    </w:p>
    <w:p w14:paraId="2A3920E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2</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测试方案提交</w:t>
      </w:r>
    </w:p>
    <w:p w14:paraId="5FDB6E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根据实际系统及相关文档要求，分析测试需求点，按照测试标准，设计测试方案，测试策略。测试方案需经过评审后，按照方案执行测试。</w:t>
      </w:r>
    </w:p>
    <w:p w14:paraId="7BAF61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3</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测试用例提交</w:t>
      </w:r>
    </w:p>
    <w:p w14:paraId="15D083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根据项目的需求文档，编写测试用例。测试用例经过评审后，需根据评审要求修改。以最终确定的测试用例来执行测试。</w:t>
      </w:r>
    </w:p>
    <w:p w14:paraId="16C1E7B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4</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测试问题提交</w:t>
      </w:r>
    </w:p>
    <w:p w14:paraId="584861F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在项目测试过程中，如发现项目相关缺陷，应与</w:t>
      </w:r>
      <w:r>
        <w:rPr>
          <w:rFonts w:hint="eastAsia" w:asciiTheme="minorEastAsia" w:hAnsiTheme="minorEastAsia" w:eastAsiaTheme="minorEastAsia" w:cstheme="minorEastAsia"/>
          <w:color w:val="auto"/>
          <w:sz w:val="24"/>
          <w:szCs w:val="24"/>
          <w:highlight w:val="none"/>
          <w:shd w:val="clear" w:color="auto" w:fill="FFFFFF"/>
          <w:lang w:eastAsia="zh-CN"/>
        </w:rPr>
        <w:t>采购人</w:t>
      </w:r>
      <w:r>
        <w:rPr>
          <w:rFonts w:hint="eastAsia" w:asciiTheme="minorEastAsia" w:hAnsiTheme="minorEastAsia" w:eastAsiaTheme="minorEastAsia" w:cstheme="minorEastAsia"/>
          <w:color w:val="auto"/>
          <w:sz w:val="24"/>
          <w:szCs w:val="24"/>
          <w:highlight w:val="none"/>
          <w:shd w:val="clear" w:color="auto" w:fill="FFFFFF"/>
        </w:rPr>
        <w:t>以及施工方进行沟通，并且在测试期间，每日向</w:t>
      </w:r>
      <w:r>
        <w:rPr>
          <w:rFonts w:hint="eastAsia" w:asciiTheme="minorEastAsia" w:hAnsiTheme="minorEastAsia" w:eastAsiaTheme="minorEastAsia" w:cstheme="minorEastAsia"/>
          <w:color w:val="auto"/>
          <w:sz w:val="24"/>
          <w:szCs w:val="24"/>
          <w:highlight w:val="none"/>
          <w:shd w:val="clear" w:color="auto" w:fill="FFFFFF"/>
          <w:lang w:eastAsia="zh-CN"/>
        </w:rPr>
        <w:t>采购人</w:t>
      </w:r>
      <w:r>
        <w:rPr>
          <w:rFonts w:hint="eastAsia" w:asciiTheme="minorEastAsia" w:hAnsiTheme="minorEastAsia" w:eastAsiaTheme="minorEastAsia" w:cstheme="minorEastAsia"/>
          <w:color w:val="auto"/>
          <w:sz w:val="24"/>
          <w:szCs w:val="24"/>
          <w:highlight w:val="none"/>
          <w:shd w:val="clear" w:color="auto" w:fill="FFFFFF"/>
        </w:rPr>
        <w:t>提交当天的测试情况汇总表以及项目进度总结日报。</w:t>
      </w:r>
    </w:p>
    <w:p w14:paraId="426B09A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5</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回归测试</w:t>
      </w:r>
    </w:p>
    <w:p w14:paraId="1A719C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开发方在修改完成所有缺陷后，提交版本，测试人员应于7个工作日内将所有缺陷复测，复测通过后完成回归测试并提交缺陷报告。开发方修改缺陷所需的时间，不计入中标方的合同履行期限内。</w:t>
      </w:r>
    </w:p>
    <w:p w14:paraId="358517F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6</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测试进度控制</w:t>
      </w:r>
    </w:p>
    <w:p w14:paraId="5AF10C3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在测试过程中，如发现项目测试工作因不确定因素（如施工方未及时整改项目缺陷，测试环境有问题等）未能按测试计划进行时，应及时向</w:t>
      </w:r>
      <w:r>
        <w:rPr>
          <w:rFonts w:hint="eastAsia" w:asciiTheme="minorEastAsia" w:hAnsiTheme="minorEastAsia" w:eastAsiaTheme="minorEastAsia" w:cstheme="minorEastAsia"/>
          <w:color w:val="auto"/>
          <w:sz w:val="24"/>
          <w:szCs w:val="24"/>
          <w:highlight w:val="none"/>
          <w:shd w:val="clear" w:color="auto" w:fill="FFFFFF"/>
          <w:lang w:eastAsia="zh-CN"/>
        </w:rPr>
        <w:t>采购人</w:t>
      </w:r>
      <w:r>
        <w:rPr>
          <w:rFonts w:hint="eastAsia" w:asciiTheme="minorEastAsia" w:hAnsiTheme="minorEastAsia" w:eastAsiaTheme="minorEastAsia" w:cstheme="minorEastAsia"/>
          <w:color w:val="auto"/>
          <w:sz w:val="24"/>
          <w:szCs w:val="24"/>
          <w:highlight w:val="none"/>
          <w:shd w:val="clear" w:color="auto" w:fill="FFFFFF"/>
        </w:rPr>
        <w:t>书面反馈，并采取必要措施加快测试进度，以保证项目的测试进度。</w:t>
      </w:r>
    </w:p>
    <w:p w14:paraId="51CF304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7</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测试风险控制</w:t>
      </w:r>
    </w:p>
    <w:p w14:paraId="7BDB21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在项目测试过程中，有可能会出现一些不可避免的风险，在测试之前，应该提前将风险告知采购</w:t>
      </w:r>
      <w:r>
        <w:rPr>
          <w:rFonts w:hint="eastAsia" w:asciiTheme="minorEastAsia" w:hAnsiTheme="minorEastAsia" w:eastAsiaTheme="minorEastAsia" w:cstheme="minorEastAsia"/>
          <w:color w:val="auto"/>
          <w:sz w:val="24"/>
          <w:szCs w:val="24"/>
          <w:highlight w:val="none"/>
          <w:shd w:val="clear" w:color="auto" w:fill="FFFFFF"/>
          <w:lang w:val="en-US" w:eastAsia="zh-CN"/>
        </w:rPr>
        <w:t>人</w:t>
      </w:r>
      <w:r>
        <w:rPr>
          <w:rFonts w:hint="eastAsia" w:asciiTheme="minorEastAsia" w:hAnsiTheme="minorEastAsia" w:eastAsiaTheme="minorEastAsia" w:cstheme="minorEastAsia"/>
          <w:color w:val="auto"/>
          <w:sz w:val="24"/>
          <w:szCs w:val="24"/>
          <w:highlight w:val="none"/>
          <w:shd w:val="clear" w:color="auto" w:fill="FFFFFF"/>
        </w:rPr>
        <w:t>，以便将风险降到最低。</w:t>
      </w:r>
    </w:p>
    <w:p w14:paraId="3C2112F8">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left"/>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b w:val="0"/>
          <w:bCs/>
          <w:color w:val="auto"/>
          <w:sz w:val="24"/>
          <w:szCs w:val="24"/>
          <w:highlight w:val="none"/>
        </w:rPr>
        <w:t>在收到所需的技术资料和具备工作环境后的</w:t>
      </w:r>
      <w:r>
        <w:rPr>
          <w:rFonts w:hint="eastAsia" w:asciiTheme="minorEastAsia" w:hAnsiTheme="minorEastAsia" w:eastAsiaTheme="minorEastAsia" w:cstheme="minorEastAsia"/>
          <w:b w:val="0"/>
          <w:bCs/>
          <w:color w:val="auto"/>
          <w:sz w:val="24"/>
          <w:szCs w:val="24"/>
          <w:highlight w:val="none"/>
          <w:lang w:val="en-US" w:eastAsia="zh-CN"/>
        </w:rPr>
        <w:t>90个日历日</w:t>
      </w:r>
      <w:r>
        <w:rPr>
          <w:rFonts w:hint="eastAsia" w:asciiTheme="minorEastAsia" w:hAnsiTheme="minorEastAsia" w:eastAsiaTheme="minorEastAsia" w:cstheme="minorEastAsia"/>
          <w:b w:val="0"/>
          <w:bCs/>
          <w:color w:val="auto"/>
          <w:sz w:val="24"/>
          <w:szCs w:val="24"/>
          <w:highlight w:val="none"/>
        </w:rPr>
        <w:t>内</w:t>
      </w:r>
      <w:r>
        <w:rPr>
          <w:rFonts w:hint="eastAsia" w:asciiTheme="minorEastAsia" w:hAnsiTheme="minorEastAsia" w:eastAsiaTheme="minorEastAsia" w:cstheme="minorEastAsia"/>
          <w:color w:val="auto"/>
          <w:sz w:val="24"/>
          <w:szCs w:val="24"/>
          <w:highlight w:val="none"/>
          <w:shd w:val="clear" w:color="auto" w:fill="FFFFFF"/>
        </w:rPr>
        <w:t>(不含系统整改时间)</w:t>
      </w:r>
      <w:r>
        <w:rPr>
          <w:rFonts w:hint="eastAsia" w:asciiTheme="minorEastAsia" w:hAnsiTheme="minorEastAsia" w:eastAsiaTheme="minorEastAsia" w:cstheme="minorEastAsia"/>
          <w:color w:val="auto"/>
          <w:sz w:val="24"/>
          <w:szCs w:val="24"/>
          <w:highlight w:val="none"/>
          <w:lang w:val="en-US" w:eastAsia="zh-CN"/>
        </w:rPr>
        <w:t>提交具备国家认可的检测机构出具的检测报告。</w:t>
      </w:r>
    </w:p>
    <w:p w14:paraId="79FB85C5">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2" w:firstLineChars="200"/>
        <w:jc w:val="both"/>
        <w:textAlignment w:val="auto"/>
        <w:outlineLvl w:val="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（二）网络安全等级保护测评要求：</w:t>
      </w:r>
      <w:r>
        <w:rPr>
          <w:rFonts w:hint="eastAsia" w:asciiTheme="minorEastAsia" w:hAnsiTheme="minorEastAsia" w:eastAsiaTheme="minorEastAsia" w:cstheme="minorEastAsia"/>
          <w:color w:val="auto"/>
          <w:sz w:val="24"/>
          <w:szCs w:val="24"/>
          <w:highlight w:val="none"/>
          <w:lang w:val="en-US" w:eastAsia="zh-CN"/>
        </w:rPr>
        <w:t>依据国家信息安全等级保护相关标准与规定，对病犯监狱一标段智能化采购项目进行全面的信息安全评估。测评范围必须涵盖但不限于物理安全、网络安全、主机安全、应用安全以及数据安全等关键领域，确保项目中各系统及其子系统在信息安全方面得到无死角的全面审查与评估，找出信息系统当前的安全保护水平与国家标准之间的差距，排查安全隐患，并提出整改建议，出具等级测评报告，完成等保备案。</w:t>
      </w:r>
    </w:p>
    <w:p w14:paraId="69DF7906">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供应商应在对采购人系统详细了解的基础上，编制针对性的等级保护测评整体实施方案，包括项目概述、等保测评范围和内容、项目实施流程、测试过程中需使用测试设备清单、时间安排、阶段性文档提交和验收标准等。</w:t>
      </w:r>
    </w:p>
    <w:p w14:paraId="56C53186">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2.本次等级保护测评实施过程中所使用到的各种工具软件由成交供应商推荐，经采购人确认后由成交供应商提供并在测评中使用。</w:t>
      </w:r>
    </w:p>
    <w:p w14:paraId="7C85D5D0">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在测评过程中采用的测评方法、测评所使用的工具以及其他测评过程中涉及的事项均需要符合信息安全等级保护主管部门要求，包括但不限于网络隐患检测工具、数据库漏洞检测工具、应用安全检测工具、网站安全检测工具等，具体如下：</w:t>
      </w:r>
    </w:p>
    <w:p w14:paraId="44A91117">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3.1协助采购人开展信息系统的定级与备案工作根据国家和行业信息安全要求，结合采购人实际安全需求，按照国家有关管理规范和标准要求，细致分析各信息系统及管理边界，合理划分信息系统范围，科学开展信息系统重要性程度分析，准确判定信息系统安全等级，编制《定级报告》、《备案表》和《信息系统资产清单及资产报告》，并按照定级备案流程，向主管部门、监管机关就信息系统定级进行审批备案，使采购人顺利获得监管机关颁发的《信息系统安全等级保护备案证明》。工作过程文件及项目交付成果（包括但不限于）：系统定级报告、备案材料。</w:t>
      </w:r>
    </w:p>
    <w:p w14:paraId="466ACA7F">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3.2严格遵照信息系统等级保护测评的各项法规要求，对所服务的项目进行信息系统等级保护测评服务。测评内容包括：</w:t>
      </w:r>
    </w:p>
    <w:p w14:paraId="4FED7A82">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安全物理环境：包括物理位置选择、物理访问控制、防盗窃和防破坏、防 雷击、防火、防水和防潮、防静电、温湿度控制、电力供应、电磁防护方面。</w:t>
      </w:r>
    </w:p>
    <w:p w14:paraId="5A2E04AB">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安全通信网络：包括网络架构、通信传输、可信验证方面。</w:t>
      </w:r>
    </w:p>
    <w:p w14:paraId="29264EB7">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安全区域边界：包括边界防护、访问控制、入侵防范、恶意代码和垃圾邮件防范、安全审计、可信验证方面。</w:t>
      </w:r>
    </w:p>
    <w:p w14:paraId="57DC0D7C">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安全计算环境：包括身份鉴别、访问控制、安全审计、入侵防范、恶意代码防范、可信验证、数据完整性、数据保密性、数据备份恢复、剩余信息保护、个人信息保护方面。</w:t>
      </w:r>
    </w:p>
    <w:p w14:paraId="0B5FFE80">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安全管理中心：包括系统管理、审计管理、安全管理、集中管控方面。</w:t>
      </w:r>
    </w:p>
    <w:p w14:paraId="323AC196">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安全管理制度：包括安全策略、管理制度、制定和发布、评审和修订方面。</w:t>
      </w:r>
    </w:p>
    <w:p w14:paraId="33AD601F">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安全管理机构：包括岗位设置、人员配备、授权和审批、沟通和合作、审核和检查方面。</w:t>
      </w:r>
    </w:p>
    <w:p w14:paraId="2E15F83C">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安全管理人员：人员上岗、人员离岗、安全意识教育和培训、外部人员访问管理方面。</w:t>
      </w:r>
    </w:p>
    <w:p w14:paraId="192F3DBA">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安全建设管理：定级和备案、安全方案设计、产品采购和使用、自行软件开发、外包软件开发、工程实施、测试验收、系统交付、等级测评、服务供应商选择方面。</w:t>
      </w:r>
    </w:p>
    <w:p w14:paraId="056AE403">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安全运维管理：环境管理、资产管理、介质管理、设备维护管理、漏洞和风险管理、网络和系统安全管理、恶意代码防范管理、配置管理、密码管理、变更管理、备份和恢复管理、安全事件处置、应急预案管理、外包运维管理方面。</w:t>
      </w:r>
    </w:p>
    <w:p w14:paraId="537101B3">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highlight w:val="none"/>
          <w:shd w:val="clear" w:color="auto" w:fill="FFFFFF"/>
        </w:rPr>
      </w:pPr>
      <w:r>
        <w:rPr>
          <w:rFonts w:hint="eastAsia" w:asciiTheme="minorEastAsia" w:hAnsiTheme="minorEastAsia" w:eastAsiaTheme="minorEastAsia" w:cstheme="minorEastAsia"/>
          <w:b w:val="0"/>
          <w:bCs w:val="0"/>
          <w:color w:val="auto"/>
          <w:sz w:val="24"/>
          <w:szCs w:val="24"/>
          <w:highlight w:val="none"/>
          <w:lang w:val="en-US" w:eastAsia="zh-CN"/>
        </w:rPr>
        <w:t>4.成交供应商应在接收一标段智能化采购项目安全测评服务（等保）全部相关材料后</w:t>
      </w:r>
      <w:r>
        <w:rPr>
          <w:rFonts w:hint="eastAsia" w:asciiTheme="minorEastAsia" w:hAnsiTheme="minorEastAsia" w:eastAsiaTheme="minorEastAsia" w:cstheme="minorEastAsia"/>
          <w:b w:val="0"/>
          <w:bCs/>
          <w:color w:val="auto"/>
          <w:sz w:val="24"/>
          <w:szCs w:val="24"/>
          <w:highlight w:val="none"/>
          <w:lang w:val="en-US" w:eastAsia="zh-CN"/>
        </w:rPr>
        <w:t>90个日历日</w:t>
      </w:r>
      <w:r>
        <w:rPr>
          <w:rFonts w:hint="eastAsia" w:asciiTheme="minorEastAsia" w:hAnsiTheme="minorEastAsia" w:eastAsiaTheme="minorEastAsia" w:cstheme="minorEastAsia"/>
          <w:b w:val="0"/>
          <w:bCs w:val="0"/>
          <w:color w:val="auto"/>
          <w:sz w:val="24"/>
          <w:szCs w:val="24"/>
          <w:highlight w:val="none"/>
          <w:lang w:val="en-US" w:eastAsia="zh-CN"/>
        </w:rPr>
        <w:t>内</w:t>
      </w:r>
      <w:r>
        <w:rPr>
          <w:rFonts w:hint="eastAsia" w:asciiTheme="minorEastAsia" w:hAnsiTheme="minorEastAsia" w:cstheme="minorEastAsia"/>
          <w:color w:val="auto"/>
          <w:sz w:val="24"/>
          <w:highlight w:val="none"/>
        </w:rPr>
        <w:t>(不含系统整改时间)</w:t>
      </w:r>
      <w:r>
        <w:rPr>
          <w:rFonts w:hint="eastAsia" w:asciiTheme="minorEastAsia" w:hAnsiTheme="minorEastAsia" w:eastAsiaTheme="minorEastAsia" w:cstheme="minorEastAsia"/>
          <w:i w:val="0"/>
          <w:iCs w:val="0"/>
          <w:caps w:val="0"/>
          <w:color w:val="333333"/>
          <w:spacing w:val="0"/>
          <w:sz w:val="24"/>
          <w:szCs w:val="24"/>
          <w:highlight w:val="none"/>
          <w:shd w:val="clear" w:fill="FFFFFF"/>
        </w:rPr>
        <w:t>，完成项目安全测评全流程工作并出具正式的《信息安全等级保护测评报告》。前述</w:t>
      </w:r>
      <w:r>
        <w:rPr>
          <w:rFonts w:hint="eastAsia" w:asciiTheme="minorEastAsia" w:hAnsiTheme="minorEastAsia" w:eastAsiaTheme="minorEastAsia" w:cstheme="minorEastAsia"/>
          <w:bCs/>
          <w:i w:val="0"/>
          <w:iCs w:val="0"/>
          <w:caps w:val="0"/>
          <w:color w:val="auto"/>
          <w:spacing w:val="0"/>
          <w:sz w:val="24"/>
          <w:szCs w:val="24"/>
          <w:highlight w:val="none"/>
          <w:shd w:val="clear"/>
          <w:lang w:val="en-US" w:eastAsia="zh-CN"/>
        </w:rPr>
        <w:t>90</w:t>
      </w:r>
      <w:r>
        <w:rPr>
          <w:rFonts w:hint="eastAsia" w:asciiTheme="minorEastAsia" w:hAnsiTheme="minorEastAsia" w:eastAsiaTheme="minorEastAsia" w:cstheme="minorEastAsia"/>
          <w:i w:val="0"/>
          <w:iCs w:val="0"/>
          <w:caps w:val="0"/>
          <w:color w:val="333333"/>
          <w:spacing w:val="0"/>
          <w:sz w:val="24"/>
          <w:szCs w:val="24"/>
          <w:highlight w:val="none"/>
          <w:shd w:val="clear" w:fill="FFFFFF"/>
        </w:rPr>
        <w:t>个日历日的服务周期内，成交供应商需</w:t>
      </w:r>
      <w:r>
        <w:rPr>
          <w:rFonts w:hint="eastAsia" w:asciiTheme="minorEastAsia" w:hAnsiTheme="minorEastAsia" w:eastAsiaTheme="minorEastAsia" w:cstheme="minorEastAsia"/>
          <w:b w:val="0"/>
          <w:bCs w:val="0"/>
          <w:color w:val="auto"/>
          <w:sz w:val="24"/>
          <w:szCs w:val="24"/>
          <w:highlight w:val="none"/>
          <w:lang w:val="en-US" w:eastAsia="zh-CN"/>
        </w:rPr>
        <w:t>同步完成</w:t>
      </w:r>
      <w:r>
        <w:rPr>
          <w:rFonts w:hint="eastAsia" w:asciiTheme="minorEastAsia" w:hAnsiTheme="minorEastAsia" w:eastAsiaTheme="minorEastAsia" w:cstheme="minorEastAsia"/>
          <w:i w:val="0"/>
          <w:iCs w:val="0"/>
          <w:caps w:val="0"/>
          <w:color w:val="333333"/>
          <w:spacing w:val="0"/>
          <w:sz w:val="24"/>
          <w:szCs w:val="24"/>
          <w:highlight w:val="none"/>
          <w:shd w:val="clear" w:fill="FFFFFF"/>
        </w:rPr>
        <w:t>测评测试方案及计划的编制工作</w:t>
      </w:r>
      <w:r>
        <w:rPr>
          <w:rFonts w:hint="eastAsia" w:asciiTheme="minorEastAsia" w:hAnsiTheme="minorEastAsia" w:eastAsiaTheme="minorEastAsia" w:cstheme="minorEastAsia"/>
          <w:b w:val="0"/>
          <w:bCs w:val="0"/>
          <w:color w:val="auto"/>
          <w:sz w:val="24"/>
          <w:szCs w:val="24"/>
          <w:highlight w:val="none"/>
          <w:lang w:val="en-US" w:eastAsia="zh-CN"/>
        </w:rPr>
        <w:t>，测试方案及计划</w:t>
      </w:r>
      <w:r>
        <w:rPr>
          <w:rFonts w:hint="eastAsia" w:asciiTheme="minorEastAsia" w:hAnsiTheme="minorEastAsia" w:eastAsiaTheme="minorEastAsia" w:cstheme="minorEastAsia"/>
          <w:i w:val="0"/>
          <w:iCs w:val="0"/>
          <w:caps w:val="0"/>
          <w:color w:val="333333"/>
          <w:spacing w:val="0"/>
          <w:sz w:val="24"/>
          <w:szCs w:val="24"/>
          <w:highlight w:val="none"/>
          <w:shd w:val="clear" w:fill="FFFFFF"/>
        </w:rPr>
        <w:t>须提前提交</w:t>
      </w:r>
      <w:r>
        <w:rPr>
          <w:rFonts w:hint="eastAsia" w:asciiTheme="minorEastAsia" w:hAnsiTheme="minorEastAsia" w:eastAsiaTheme="minorEastAsia" w:cstheme="minorEastAsia"/>
          <w:b w:val="0"/>
          <w:bCs w:val="0"/>
          <w:color w:val="auto"/>
          <w:sz w:val="24"/>
          <w:szCs w:val="24"/>
          <w:highlight w:val="none"/>
          <w:lang w:val="en-US" w:eastAsia="zh-CN"/>
        </w:rPr>
        <w:t>采购人</w:t>
      </w:r>
      <w:r>
        <w:rPr>
          <w:rFonts w:hint="eastAsia" w:asciiTheme="minorEastAsia" w:hAnsiTheme="minorEastAsia" w:eastAsiaTheme="minorEastAsia" w:cstheme="minorEastAsia"/>
          <w:i w:val="0"/>
          <w:iCs w:val="0"/>
          <w:caps w:val="0"/>
          <w:color w:val="333333"/>
          <w:spacing w:val="0"/>
          <w:sz w:val="24"/>
          <w:szCs w:val="24"/>
          <w:highlight w:val="none"/>
          <w:shd w:val="clear" w:fill="FFFFFF"/>
        </w:rPr>
        <w:t>审核，在获得采购人书面</w:t>
      </w:r>
      <w:r>
        <w:rPr>
          <w:rFonts w:hint="eastAsia" w:asciiTheme="minorEastAsia" w:hAnsiTheme="minorEastAsia" w:eastAsiaTheme="minorEastAsia" w:cstheme="minorEastAsia"/>
          <w:b w:val="0"/>
          <w:bCs w:val="0"/>
          <w:color w:val="auto"/>
          <w:sz w:val="24"/>
          <w:szCs w:val="24"/>
          <w:highlight w:val="none"/>
          <w:lang w:val="en-US" w:eastAsia="zh-CN"/>
        </w:rPr>
        <w:t>同意和认可后方可</w:t>
      </w:r>
      <w:r>
        <w:rPr>
          <w:rFonts w:hint="eastAsia" w:asciiTheme="minorEastAsia" w:hAnsiTheme="minorEastAsia" w:eastAsiaTheme="minorEastAsia" w:cstheme="minorEastAsia"/>
          <w:i w:val="0"/>
          <w:iCs w:val="0"/>
          <w:caps w:val="0"/>
          <w:color w:val="333333"/>
          <w:spacing w:val="0"/>
          <w:sz w:val="24"/>
          <w:szCs w:val="24"/>
          <w:highlight w:val="none"/>
          <w:shd w:val="clear" w:fill="FFFFFF"/>
        </w:rPr>
        <w:t>启动现场测评执行工作</w:t>
      </w:r>
      <w:r>
        <w:rPr>
          <w:rFonts w:hint="eastAsia" w:asciiTheme="minorEastAsia" w:hAnsiTheme="minorEastAsia" w:eastAsiaTheme="minorEastAsia" w:cstheme="minorEastAsia"/>
          <w:b w:val="0"/>
          <w:bCs w:val="0"/>
          <w:color w:val="auto"/>
          <w:sz w:val="24"/>
          <w:szCs w:val="24"/>
          <w:highlight w:val="none"/>
          <w:lang w:val="en-US" w:eastAsia="zh-CN"/>
        </w:rPr>
        <w:t>。</w:t>
      </w:r>
      <w:r>
        <w:rPr>
          <w:rFonts w:hint="eastAsia" w:asciiTheme="minorEastAsia" w:hAnsiTheme="minorEastAsia" w:eastAsiaTheme="minorEastAsia" w:cstheme="minorEastAsia"/>
          <w:i w:val="0"/>
          <w:iCs w:val="0"/>
          <w:caps w:val="0"/>
          <w:color w:val="333333"/>
          <w:spacing w:val="0"/>
          <w:sz w:val="24"/>
          <w:szCs w:val="24"/>
          <w:highlight w:val="none"/>
          <w:shd w:val="clear" w:fill="FFFFFF"/>
        </w:rPr>
        <w:t>成交供应商所出具的《信息安全等级保护测评报告》，须严格</w:t>
      </w:r>
      <w:r>
        <w:rPr>
          <w:rFonts w:hint="eastAsia" w:asciiTheme="minorEastAsia" w:hAnsiTheme="minorEastAsia" w:eastAsiaTheme="minorEastAsia" w:cstheme="minorEastAsia"/>
          <w:color w:val="auto"/>
          <w:kern w:val="0"/>
          <w:sz w:val="24"/>
          <w:szCs w:val="24"/>
          <w:highlight w:val="none"/>
          <w:shd w:val="clear" w:color="auto" w:fill="FFFFFF"/>
        </w:rPr>
        <w:t>依据国家《信息安全等级保护基本要求》</w:t>
      </w:r>
      <w:r>
        <w:rPr>
          <w:rFonts w:hint="eastAsia" w:asciiTheme="minorEastAsia" w:hAnsiTheme="minorEastAsia" w:eastAsiaTheme="minorEastAsia" w:cstheme="minorEastAsia"/>
          <w:i w:val="0"/>
          <w:iCs w:val="0"/>
          <w:caps w:val="0"/>
          <w:color w:val="333333"/>
          <w:spacing w:val="0"/>
          <w:sz w:val="24"/>
          <w:szCs w:val="24"/>
          <w:highlight w:val="none"/>
          <w:shd w:val="clear" w:fill="FFFFFF"/>
        </w:rPr>
        <w:t>（GB/T 22239-2019）</w:t>
      </w:r>
      <w:r>
        <w:rPr>
          <w:rFonts w:hint="eastAsia" w:asciiTheme="minorEastAsia" w:hAnsiTheme="minorEastAsia" w:eastAsiaTheme="minorEastAsia" w:cstheme="minorEastAsia"/>
          <w:i w:val="0"/>
          <w:iCs w:val="0"/>
          <w:caps w:val="0"/>
          <w:color w:val="333333"/>
          <w:spacing w:val="0"/>
          <w:sz w:val="24"/>
          <w:szCs w:val="24"/>
          <w:highlight w:val="none"/>
          <w:shd w:val="clear" w:fill="FFFFFF"/>
          <w:lang w:val="en-US" w:eastAsia="zh-CN"/>
        </w:rPr>
        <w:t>编制，且由</w:t>
      </w:r>
      <w:r>
        <w:rPr>
          <w:rFonts w:hint="eastAsia" w:asciiTheme="minorEastAsia" w:hAnsiTheme="minorEastAsia" w:eastAsiaTheme="minorEastAsia" w:cstheme="minorEastAsia"/>
          <w:b w:val="0"/>
          <w:bCs w:val="0"/>
          <w:color w:val="auto"/>
          <w:kern w:val="0"/>
          <w:sz w:val="24"/>
          <w:szCs w:val="24"/>
          <w:highlight w:val="none"/>
          <w:shd w:val="clear" w:color="auto" w:fill="FFFFFF"/>
        </w:rPr>
        <w:t>具备公安部第三研究所颁发的网络安全等级测评与检测评估机构服务认证资质的</w:t>
      </w:r>
      <w:r>
        <w:rPr>
          <w:rFonts w:hint="eastAsia" w:asciiTheme="minorEastAsia" w:hAnsiTheme="minorEastAsia" w:eastAsiaTheme="minorEastAsia" w:cstheme="minorEastAsia"/>
          <w:i w:val="0"/>
          <w:iCs w:val="0"/>
          <w:caps w:val="0"/>
          <w:color w:val="333333"/>
          <w:spacing w:val="0"/>
          <w:sz w:val="24"/>
          <w:szCs w:val="24"/>
          <w:highlight w:val="none"/>
          <w:shd w:val="clear" w:fill="FFFFFF"/>
        </w:rPr>
        <w:t>合法机构出具，确保报告符合监管部门等保合规验收要求。</w:t>
      </w:r>
    </w:p>
    <w:p w14:paraId="34496D34">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t>5.成交供应商应协助采购人、系统建设方共同确认应纳入等保定级备案的信息系统清单与数量整合工作，</w:t>
      </w:r>
      <w:r>
        <w:rPr>
          <w:rFonts w:hint="eastAsia" w:asciiTheme="minorEastAsia" w:hAnsiTheme="minorEastAsia" w:eastAsiaTheme="minorEastAsia" w:cstheme="minorEastAsia"/>
          <w:i w:val="0"/>
          <w:iCs w:val="0"/>
          <w:caps w:val="0"/>
          <w:color w:val="auto"/>
          <w:spacing w:val="0"/>
          <w:sz w:val="24"/>
          <w:szCs w:val="24"/>
          <w:highlight w:val="none"/>
          <w:shd w:val="clear" w:fill="FFFFFF"/>
        </w:rPr>
        <w:t>项目涉及的信息系统定级环节，由成交供应商负责组织</w:t>
      </w:r>
      <w:r>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t>专家进行</w:t>
      </w:r>
      <w:r>
        <w:rPr>
          <w:rFonts w:hint="eastAsia" w:asciiTheme="minorEastAsia" w:hAnsiTheme="minorEastAsia" w:eastAsiaTheme="minorEastAsia" w:cstheme="minorEastAsia"/>
          <w:i w:val="0"/>
          <w:iCs w:val="0"/>
          <w:caps w:val="0"/>
          <w:color w:val="auto"/>
          <w:spacing w:val="0"/>
          <w:sz w:val="24"/>
          <w:szCs w:val="24"/>
          <w:highlight w:val="none"/>
          <w:shd w:val="clear" w:fill="FFFFFF"/>
        </w:rPr>
        <w:t>定级</w:t>
      </w:r>
      <w:r>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t>评审论证，</w:t>
      </w:r>
      <w:r>
        <w:rPr>
          <w:rFonts w:hint="eastAsia" w:asciiTheme="minorEastAsia" w:hAnsiTheme="minorEastAsia" w:eastAsiaTheme="minorEastAsia" w:cstheme="minorEastAsia"/>
          <w:i w:val="0"/>
          <w:iCs w:val="0"/>
          <w:caps w:val="0"/>
          <w:color w:val="auto"/>
          <w:spacing w:val="0"/>
          <w:sz w:val="24"/>
          <w:szCs w:val="24"/>
          <w:highlight w:val="none"/>
          <w:shd w:val="clear" w:fill="FFFFFF"/>
        </w:rPr>
        <w:t>该环节产生的专家劳务费、评审相关配套费用已全额包含在本项目投标总价中，采购人无需另行支付任何费用</w:t>
      </w:r>
      <w:r>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t>。</w:t>
      </w:r>
    </w:p>
    <w:p w14:paraId="3D24B500">
      <w:pPr>
        <w:pStyle w:val="32"/>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pPr>
      <w:r>
        <w:rPr>
          <w:rFonts w:hint="eastAsia" w:asciiTheme="minorEastAsia" w:hAnsiTheme="minorEastAsia" w:eastAsiaTheme="minorEastAsia" w:cstheme="minorEastAsia"/>
          <w:b w:val="0"/>
          <w:bCs w:val="0"/>
          <w:color w:val="auto"/>
          <w:kern w:val="0"/>
          <w:sz w:val="24"/>
          <w:szCs w:val="24"/>
          <w:highlight w:val="none"/>
          <w:shd w:val="clear" w:color="auto" w:fill="FFFFFF"/>
          <w:lang w:val="en-US" w:eastAsia="zh-CN"/>
        </w:rPr>
        <w:t>6.成交供应商等保资产分析服务、等保风险分析服务、等保差距评估服务、等保制度编制辅导服务、安全策略复查服务、等保备案辅助服务等，服务内容参照国家等级保护相关标准和行业规范。</w:t>
      </w:r>
    </w:p>
    <w:p w14:paraId="5C9DC68B">
      <w:pPr>
        <w:pStyle w:val="32"/>
        <w:spacing w:line="440" w:lineRule="exact"/>
        <w:rPr>
          <w:rFonts w:hint="default" w:asciiTheme="minorEastAsia" w:hAnsiTheme="minorEastAsia" w:cstheme="minorEastAsia"/>
          <w:b w:val="0"/>
          <w:bCs w:val="0"/>
          <w:color w:val="auto"/>
          <w:kern w:val="0"/>
          <w:sz w:val="24"/>
          <w:szCs w:val="24"/>
          <w:highlight w:val="none"/>
          <w:shd w:val="clear" w:color="auto" w:fill="FFFFFF"/>
          <w:lang w:val="en-US" w:eastAsia="zh-CN"/>
        </w:rPr>
      </w:pPr>
      <w:r>
        <w:rPr>
          <w:rFonts w:hint="eastAsia" w:asciiTheme="minorEastAsia" w:hAnsiTheme="minorEastAsia" w:cstheme="minorEastAsia"/>
          <w:b w:val="0"/>
          <w:bCs w:val="0"/>
          <w:color w:val="auto"/>
          <w:kern w:val="0"/>
          <w:sz w:val="24"/>
          <w:szCs w:val="24"/>
          <w:highlight w:val="none"/>
          <w:shd w:val="clear" w:color="auto" w:fill="FFFFFF"/>
          <w:lang w:val="en-US" w:eastAsia="zh-CN"/>
        </w:rPr>
        <w:t>7.根据《福建省病犯监狱（福建省建新医院）一标段智能化系统采购项目技术需求书》对于系统安全保护等级确定的说明：本项目对部署在设备专网的视频监控系统、一卡通管理系统、广播系统、监仓对讲系统、报警系统、会见系统和智能化集成综合管理平台等需求方要求的系统应按照等保2.0三级等保的相关要求进行建设。成交供应商须严格依据国家网络安全等级保护三级相关标准规范，通过全流程专业测评，出具安全加固方案与整改指导建议，最终保障本项目整体智能化大系统及全部子系统均满足网络安全等级保护三级防护要求，取得对应的网络安全等级保护三级备案证明与测评合格报告。</w:t>
      </w:r>
    </w:p>
    <w:p w14:paraId="7E8AD70F">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2" w:firstLineChars="200"/>
        <w:jc w:val="both"/>
        <w:textAlignment w:val="auto"/>
        <w:outlineLvl w:val="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（三）商用密码应用安全性评估要求：</w:t>
      </w:r>
      <w:r>
        <w:rPr>
          <w:rFonts w:hint="eastAsia" w:asciiTheme="minorEastAsia" w:hAnsiTheme="minorEastAsia" w:eastAsiaTheme="minorEastAsia" w:cstheme="minorEastAsia"/>
          <w:color w:val="auto"/>
          <w:sz w:val="24"/>
          <w:szCs w:val="24"/>
          <w:highlight w:val="none"/>
          <w:lang w:val="en-US" w:eastAsia="zh-CN"/>
        </w:rPr>
        <w:t>依据国家商用密码相关标准和规范，围绕商用密码应用安全，从物理和环境安全、网络和通信安全、设备和计算安全、应用和数据安全四个技术层面进行检测和验证，从管理制度、人员管理、建设运行和应急处置四个方面进行评估，依据统一的报告模板出具密码应用安全性评估报告。</w:t>
      </w:r>
    </w:p>
    <w:p w14:paraId="2D1A23D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1</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根据《中华人民共和国密码法》、《中华人民共和国网络安全法》、《国家政务信息化项目建设管理办法》、《信息安全技术信息系统密码应用基本要求》（GB/T</w:t>
      </w:r>
      <w:r>
        <w:rPr>
          <w:rFonts w:hint="eastAsia" w:asciiTheme="minorEastAsia" w:hAnsiTheme="minorEastAsia" w:eastAsiaTheme="minorEastAsia" w:cstheme="minorEastAsia"/>
          <w:color w:val="auto"/>
          <w:sz w:val="24"/>
          <w:szCs w:val="24"/>
          <w:highlight w:val="none"/>
          <w:shd w:val="clear" w:color="auto" w:fill="FFFFFF"/>
          <w:lang w:val="en-US" w:eastAsia="zh-CN"/>
        </w:rPr>
        <w:t xml:space="preserve"> </w:t>
      </w:r>
      <w:r>
        <w:rPr>
          <w:rFonts w:hint="eastAsia" w:asciiTheme="minorEastAsia" w:hAnsiTheme="minorEastAsia" w:eastAsiaTheme="minorEastAsia" w:cstheme="minorEastAsia"/>
          <w:color w:val="auto"/>
          <w:sz w:val="24"/>
          <w:szCs w:val="24"/>
          <w:highlight w:val="none"/>
          <w:shd w:val="clear" w:color="auto" w:fill="FFFFFF"/>
        </w:rPr>
        <w:t>39786-2021）、《商用密码应用安全性评估管理办法（试行）》、《贯彻落实网络安全等保制度和关保制度的指导意见》（公安部1960号）、《福建省密码管理局关于加强商用密码应用安全性评估工作的通知》等法律法规、制度和规范，开展商用密码应用安全性评估（简称“密评”）。</w:t>
      </w:r>
    </w:p>
    <w:p w14:paraId="69192C9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2</w:t>
      </w:r>
      <w:r>
        <w:rPr>
          <w:rFonts w:hint="eastAsia" w:asciiTheme="minorEastAsia" w:hAnsiTheme="minorEastAsia" w:eastAsiaTheme="minorEastAsia" w:cstheme="minorEastAsia"/>
          <w:color w:val="auto"/>
          <w:sz w:val="24"/>
          <w:szCs w:val="24"/>
          <w:highlight w:val="none"/>
          <w:shd w:val="clear" w:color="auto" w:fill="FFFFFF"/>
          <w:lang w:val="en-US" w:eastAsia="zh-CN"/>
        </w:rPr>
        <w:t>.</w:t>
      </w:r>
      <w:r>
        <w:rPr>
          <w:rFonts w:hint="eastAsia" w:asciiTheme="minorEastAsia" w:hAnsiTheme="minorEastAsia" w:eastAsiaTheme="minorEastAsia" w:cstheme="minorEastAsia"/>
          <w:color w:val="auto"/>
          <w:sz w:val="24"/>
          <w:szCs w:val="24"/>
          <w:highlight w:val="none"/>
          <w:shd w:val="clear" w:color="auto" w:fill="FFFFFF"/>
        </w:rPr>
        <w:t>依据《信息安全技术信息系统密码应用基本要求》（GB/T</w:t>
      </w:r>
      <w:r>
        <w:rPr>
          <w:rFonts w:hint="eastAsia" w:asciiTheme="minorEastAsia" w:hAnsiTheme="minorEastAsia" w:eastAsiaTheme="minorEastAsia" w:cstheme="minorEastAsia"/>
          <w:color w:val="auto"/>
          <w:sz w:val="24"/>
          <w:szCs w:val="24"/>
          <w:highlight w:val="none"/>
          <w:shd w:val="clear" w:color="auto" w:fill="FFFFFF"/>
          <w:lang w:val="en-US" w:eastAsia="zh-CN"/>
        </w:rPr>
        <w:t xml:space="preserve"> </w:t>
      </w:r>
      <w:r>
        <w:rPr>
          <w:rFonts w:hint="eastAsia" w:asciiTheme="minorEastAsia" w:hAnsiTheme="minorEastAsia" w:eastAsiaTheme="minorEastAsia" w:cstheme="minorEastAsia"/>
          <w:color w:val="auto"/>
          <w:sz w:val="24"/>
          <w:szCs w:val="24"/>
          <w:highlight w:val="none"/>
          <w:shd w:val="clear" w:color="auto" w:fill="FFFFFF"/>
        </w:rPr>
        <w:t>39786-2021）、《信息系统密码</w:t>
      </w:r>
      <w:r>
        <w:rPr>
          <w:rFonts w:hint="eastAsia" w:asciiTheme="minorEastAsia" w:hAnsiTheme="minorEastAsia" w:eastAsiaTheme="minorEastAsia" w:cstheme="minorEastAsia"/>
          <w:color w:val="auto"/>
          <w:sz w:val="24"/>
          <w:szCs w:val="24"/>
          <w:highlight w:val="none"/>
          <w:shd w:val="clear" w:color="auto" w:fill="FFFFFF"/>
          <w:lang w:val="en-US" w:eastAsia="zh-CN"/>
        </w:rPr>
        <w:t>应用</w:t>
      </w:r>
      <w:r>
        <w:rPr>
          <w:rFonts w:hint="eastAsia" w:asciiTheme="minorEastAsia" w:hAnsiTheme="minorEastAsia" w:eastAsiaTheme="minorEastAsia" w:cstheme="minorEastAsia"/>
          <w:color w:val="auto"/>
          <w:sz w:val="24"/>
          <w:szCs w:val="24"/>
          <w:highlight w:val="none"/>
          <w:shd w:val="clear" w:color="auto" w:fill="FFFFFF"/>
        </w:rPr>
        <w:t>测评要求》</w:t>
      </w:r>
      <w:r>
        <w:rPr>
          <w:rFonts w:hint="eastAsia" w:asciiTheme="minorEastAsia" w:hAnsiTheme="minorEastAsia" w:eastAsiaTheme="minorEastAsia" w:cstheme="minorEastAsia"/>
          <w:color w:val="auto"/>
          <w:sz w:val="24"/>
          <w:szCs w:val="24"/>
          <w:highlight w:val="none"/>
          <w:shd w:val="clear" w:color="auto" w:fill="FFFFFF"/>
          <w:lang w:eastAsia="zh-CN"/>
        </w:rPr>
        <w:t>、</w:t>
      </w:r>
      <w:r>
        <w:rPr>
          <w:rFonts w:hint="eastAsia" w:asciiTheme="minorEastAsia" w:hAnsiTheme="minorEastAsia" w:eastAsiaTheme="minorEastAsia" w:cstheme="minorEastAsia"/>
          <w:color w:val="auto"/>
          <w:sz w:val="24"/>
          <w:szCs w:val="24"/>
          <w:highlight w:val="none"/>
          <w:shd w:val="clear" w:color="auto" w:fill="FFFFFF"/>
        </w:rPr>
        <w:t>《商用密码应用安全性评估测评过程指南》《商用密码应用安全性评估测评作业指导书（试行）》和被测系统的安全需求分析，对被测系统进行商用密码应用安全性评估，为重要网络和信息系统的密码安全提供科学评价，规范采购单位的密码使用和管理行为，推动提升密码应用水平。</w:t>
      </w:r>
    </w:p>
    <w:p w14:paraId="43B240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3</w:t>
      </w:r>
      <w:r>
        <w:rPr>
          <w:rFonts w:hint="eastAsia" w:asciiTheme="minorEastAsia" w:hAnsiTheme="minorEastAsia" w:eastAsiaTheme="minorEastAsia" w:cstheme="minorEastAsia"/>
          <w:color w:val="auto"/>
          <w:sz w:val="24"/>
          <w:szCs w:val="24"/>
          <w:highlight w:val="none"/>
          <w:shd w:val="clear" w:color="auto" w:fill="FFFFFF"/>
          <w:lang w:val="en-US" w:eastAsia="zh-CN"/>
        </w:rPr>
        <w:t>.具体评估服务内容如下：</w:t>
      </w:r>
    </w:p>
    <w:p w14:paraId="0FC57AD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3.1物理和环境</w:t>
      </w:r>
      <w:r>
        <w:rPr>
          <w:rFonts w:hint="eastAsia" w:asciiTheme="minorEastAsia" w:hAnsiTheme="minorEastAsia" w:eastAsiaTheme="minorEastAsia" w:cstheme="minorEastAsia"/>
          <w:color w:val="auto"/>
          <w:sz w:val="24"/>
          <w:szCs w:val="24"/>
          <w:highlight w:val="none"/>
          <w:shd w:val="clear" w:color="auto" w:fill="FFFFFF"/>
          <w:lang w:val="en-US" w:eastAsia="zh-CN"/>
        </w:rPr>
        <w:t>安全</w:t>
      </w:r>
      <w:r>
        <w:rPr>
          <w:rFonts w:hint="eastAsia" w:asciiTheme="minorEastAsia" w:hAnsiTheme="minorEastAsia" w:eastAsiaTheme="minorEastAsia" w:cstheme="minorEastAsia"/>
          <w:color w:val="auto"/>
          <w:sz w:val="24"/>
          <w:szCs w:val="24"/>
          <w:highlight w:val="none"/>
          <w:shd w:val="clear" w:color="auto" w:fill="FFFFFF"/>
        </w:rPr>
        <w:t>测评内容：身份鉴别、电子门禁记录数据的完整性、视频记录数据完整性、密码模块实现。</w:t>
      </w:r>
    </w:p>
    <w:p w14:paraId="68AA859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rPr>
        <w:t>3.2网络和通信</w:t>
      </w:r>
      <w:r>
        <w:rPr>
          <w:rFonts w:hint="eastAsia" w:asciiTheme="minorEastAsia" w:hAnsiTheme="minorEastAsia" w:eastAsiaTheme="minorEastAsia" w:cstheme="minorEastAsia"/>
          <w:color w:val="auto"/>
          <w:sz w:val="24"/>
          <w:szCs w:val="24"/>
          <w:highlight w:val="none"/>
          <w:shd w:val="clear" w:color="auto" w:fill="FFFFFF"/>
          <w:lang w:val="en-US" w:eastAsia="zh-CN"/>
        </w:rPr>
        <w:t>安全</w:t>
      </w:r>
      <w:r>
        <w:rPr>
          <w:rFonts w:hint="eastAsia" w:asciiTheme="minorEastAsia" w:hAnsiTheme="minorEastAsia" w:eastAsiaTheme="minorEastAsia" w:cstheme="minorEastAsia"/>
          <w:color w:val="auto"/>
          <w:sz w:val="24"/>
          <w:szCs w:val="24"/>
          <w:highlight w:val="none"/>
          <w:shd w:val="clear" w:color="auto" w:fill="FFFFFF"/>
        </w:rPr>
        <w:t>测评内容：身份鉴别、内部网络安全接入、通信数据完整性、通信数据机密性、网络边界访问控制信息的完整性、集中管理通道安全、密码模块实现。</w:t>
      </w:r>
    </w:p>
    <w:p w14:paraId="369605CD">
      <w:pPr>
        <w:pStyle w:val="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shd w:val="clear" w:color="auto" w:fill="FFFFFF"/>
          <w:lang w:val="en-US" w:eastAsia="zh-CN"/>
        </w:rPr>
        <w:t>3.3设备和计算安全测评内容：身份鉴别、远程管理通道安全、远程管理通道安全、重要信息资源安全标记完整性、日志记录完整性、重要可执行程序完整性、重要可执行程序来源真实性。</w:t>
      </w:r>
    </w:p>
    <w:p w14:paraId="662925B5">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shd w:val="clear" w:color="auto" w:fill="FFFFFF"/>
          <w:lang w:val="en-US" w:eastAsia="zh-CN"/>
        </w:rPr>
        <w:t>3.4应用和数据安全测评内容：身份鉴别、访问控制信息完整性、访问控制信息完整性、重要信息资源安全标记完整性、重要数据传输完整性、重要数据存储机密性、重要数据传输完整性、重要数据存储完整性、不可否认性。</w:t>
      </w:r>
    </w:p>
    <w:p w14:paraId="201CF177">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shd w:val="clear" w:color="auto" w:fill="FFFFFF"/>
          <w:lang w:val="en-US" w:eastAsia="zh-CN"/>
        </w:rPr>
        <w:t>3.5管理制度测评内容：具备密码应用安全管理制度、密钥管理规则、建立操作规程、定期修订安全管理制度、明确管理制度发布流程、制度执行过程记录留存。</w:t>
      </w:r>
    </w:p>
    <w:p w14:paraId="754C9323">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shd w:val="clear" w:color="auto" w:fill="FFFFFF"/>
          <w:lang w:val="en-US" w:eastAsia="zh-CN"/>
        </w:rPr>
        <w:t>3.6人员管理测评内容：了解并遵守密码相关法律法规和密码管理制度、建立密码应用岗位责任制度、建立上岗人员培训制度、定期进行安全岗位人员考核、建立关键岗位人员保密制度和调离制度。</w:t>
      </w:r>
    </w:p>
    <w:p w14:paraId="29A17C25">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lang w:val="en-US" w:eastAsia="zh-CN"/>
        </w:rPr>
      </w:pPr>
      <w:r>
        <w:rPr>
          <w:rFonts w:hint="eastAsia" w:asciiTheme="minorEastAsia" w:hAnsiTheme="minorEastAsia" w:eastAsiaTheme="minorEastAsia" w:cstheme="minorEastAsia"/>
          <w:color w:val="auto"/>
          <w:sz w:val="24"/>
          <w:szCs w:val="24"/>
          <w:highlight w:val="none"/>
          <w:shd w:val="clear" w:color="auto" w:fill="FFFFFF"/>
          <w:lang w:val="en-US" w:eastAsia="zh-CN"/>
        </w:rPr>
        <w:t>3.7建设运行测评内容：制定密码应用方案、制定密钥安全管理策略、制定实施方案、投入运行前进行密码应用安全性评估、定期开展密码应用安全性评估及攻防对抗演习。</w:t>
      </w:r>
    </w:p>
    <w:p w14:paraId="72A2C83E">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bCs/>
          <w:color w:val="auto"/>
          <w:kern w:val="0"/>
          <w:sz w:val="24"/>
          <w:szCs w:val="24"/>
          <w:highlight w:val="none"/>
          <w:lang w:bidi="ar"/>
        </w:rPr>
      </w:pPr>
      <w:r>
        <w:rPr>
          <w:rFonts w:hint="eastAsia" w:asciiTheme="minorEastAsia" w:hAnsiTheme="minorEastAsia" w:eastAsiaTheme="minorEastAsia" w:cstheme="minorEastAsia"/>
          <w:color w:val="auto"/>
          <w:sz w:val="24"/>
          <w:szCs w:val="24"/>
          <w:highlight w:val="none"/>
          <w:shd w:val="clear" w:color="auto" w:fill="FFFFFF"/>
          <w:lang w:val="en-US" w:eastAsia="zh-CN"/>
        </w:rPr>
        <w:t>3.8应急处置测评内容：应急策略、事件处置、向有关主管部门上报处置情况。</w:t>
      </w:r>
    </w:p>
    <w:p w14:paraId="6BBDEC9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lang w:val="en-US" w:eastAsia="zh-CN"/>
        </w:rPr>
        <w:t>4.</w:t>
      </w:r>
      <w:r>
        <w:rPr>
          <w:rFonts w:hint="eastAsia" w:asciiTheme="minorEastAsia" w:hAnsiTheme="minorEastAsia" w:eastAsiaTheme="minorEastAsia" w:cstheme="minorEastAsia"/>
          <w:color w:val="auto"/>
          <w:sz w:val="24"/>
          <w:szCs w:val="24"/>
          <w:highlight w:val="none"/>
          <w:shd w:val="clear" w:color="auto" w:fill="FFFFFF"/>
        </w:rPr>
        <w:t>服务成果</w:t>
      </w:r>
    </w:p>
    <w:p w14:paraId="1D3D1B33">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由在国家密码管理局网站，国家密码管理局公告（49号）《商用密码检测机构（商用密码应用安全性评估业务）目录》中的商用密码检测机构（商用密码应用安全性评估业务）完成商用密码应用安全性评估，</w:t>
      </w:r>
      <w:r>
        <w:rPr>
          <w:rFonts w:hint="eastAsia" w:asciiTheme="minorEastAsia" w:hAnsiTheme="minorEastAsia" w:eastAsiaTheme="minorEastAsia" w:cstheme="minorEastAsia"/>
          <w:b w:val="0"/>
          <w:bCs/>
          <w:color w:val="auto"/>
          <w:sz w:val="24"/>
          <w:szCs w:val="24"/>
          <w:highlight w:val="none"/>
        </w:rPr>
        <w:t>在收到所需的技术资料和具备工作环境后的</w:t>
      </w:r>
      <w:r>
        <w:rPr>
          <w:rFonts w:hint="eastAsia" w:asciiTheme="minorEastAsia" w:hAnsiTheme="minorEastAsia" w:eastAsiaTheme="minorEastAsia" w:cstheme="minorEastAsia"/>
          <w:b w:val="0"/>
          <w:bCs/>
          <w:color w:val="auto"/>
          <w:sz w:val="24"/>
          <w:szCs w:val="24"/>
          <w:highlight w:val="none"/>
          <w:lang w:val="en-US" w:eastAsia="zh-CN"/>
        </w:rPr>
        <w:t>90个日历日</w:t>
      </w:r>
      <w:r>
        <w:rPr>
          <w:rFonts w:hint="eastAsia" w:asciiTheme="minorEastAsia" w:hAnsiTheme="minorEastAsia" w:eastAsiaTheme="minorEastAsia" w:cstheme="minorEastAsia"/>
          <w:b w:val="0"/>
          <w:bCs/>
          <w:color w:val="auto"/>
          <w:sz w:val="24"/>
          <w:szCs w:val="24"/>
          <w:highlight w:val="none"/>
        </w:rPr>
        <w:t>内(不含系统整改时间)</w:t>
      </w:r>
      <w:r>
        <w:rPr>
          <w:rFonts w:hint="eastAsia" w:asciiTheme="minorEastAsia" w:hAnsiTheme="minorEastAsia" w:eastAsiaTheme="minorEastAsia" w:cstheme="minorEastAsia"/>
          <w:b w:val="0"/>
          <w:bCs w:val="0"/>
          <w:color w:val="auto"/>
          <w:sz w:val="24"/>
          <w:szCs w:val="24"/>
          <w:highlight w:val="none"/>
          <w:lang w:val="en-US" w:eastAsia="zh-CN"/>
        </w:rPr>
        <w:t>出具《商用密码应用安全性评估报告》。</w:t>
      </w:r>
    </w:p>
    <w:p w14:paraId="6ACC4357">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2" w:firstLineChars="200"/>
        <w:jc w:val="both"/>
        <w:textAlignment w:val="auto"/>
        <w:outlineLvl w:val="2"/>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（四）信创符合性测试：</w:t>
      </w:r>
    </w:p>
    <w:p w14:paraId="2122B828">
      <w:pPr>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80" w:firstLineChars="200"/>
        <w:jc w:val="both"/>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1.根据</w:t>
      </w:r>
      <w:r>
        <w:rPr>
          <w:rFonts w:hint="eastAsia" w:asciiTheme="minorEastAsia" w:hAnsiTheme="minorEastAsia" w:eastAsiaTheme="minorEastAsia" w:cstheme="minorEastAsia"/>
          <w:color w:val="auto"/>
          <w:sz w:val="24"/>
          <w:szCs w:val="24"/>
          <w:highlight w:val="none"/>
          <w:shd w:val="clear" w:color="auto" w:fill="FFFFFF"/>
          <w:lang w:val="en-US" w:eastAsia="zh-CN"/>
        </w:rPr>
        <w:t>福建省数据管理局 福建省密码管理局《关于开展省级政务信息化项目信创符合性测试工作的通知》（闽数据〔2025〕47号）</w:t>
      </w:r>
      <w:r>
        <w:rPr>
          <w:rFonts w:hint="eastAsia" w:asciiTheme="minorEastAsia" w:hAnsiTheme="minorEastAsia" w:eastAsiaTheme="minorEastAsia" w:cstheme="minorEastAsia"/>
          <w:b w:val="0"/>
          <w:bCs w:val="0"/>
          <w:sz w:val="24"/>
          <w:szCs w:val="24"/>
          <w:highlight w:val="none"/>
          <w:lang w:val="en-US" w:eastAsia="zh-CN"/>
        </w:rPr>
        <w:t>及福建省信息技术应用创新相关政策要求，本项目须同步开展信创符合性测试，作为项目配套测试测评服务内容之一。响应供应商须自身具备省级及以上信创适配中心认可的信创符合性测试能力，承诺出具符合福建省及行业监管要求的正式测试报告；或承诺在成交后，统筹落实并全过程管理具备相应测试能力与资质的专业机构完成本项测试服务，确保测试过程、测试结果及最终报告均满足采购人要求及福建省信创相关政策规定，最终测试报告须经相关部门审核并完成备案。</w:t>
      </w:r>
      <w:r>
        <w:rPr>
          <w:rFonts w:hint="eastAsia" w:asciiTheme="minorEastAsia" w:hAnsiTheme="minorEastAsia" w:eastAsiaTheme="minorEastAsia" w:cstheme="minorEastAsia"/>
          <w:b/>
          <w:bCs/>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注：供应商须单独提供承诺函，格式自拟</w:t>
      </w:r>
      <w:r>
        <w:rPr>
          <w:rFonts w:hint="eastAsia" w:asciiTheme="minorEastAsia" w:hAnsiTheme="minorEastAsia" w:eastAsiaTheme="minorEastAsia" w:cstheme="minorEastAsia"/>
          <w:b/>
          <w:bCs/>
          <w:sz w:val="24"/>
          <w:szCs w:val="24"/>
          <w:highlight w:val="none"/>
          <w:lang w:eastAsia="zh-CN"/>
        </w:rPr>
        <w:t>）</w:t>
      </w:r>
    </w:p>
    <w:p w14:paraId="6AA38B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b w:val="0"/>
          <w:bCs w:val="0"/>
          <w:sz w:val="24"/>
          <w:szCs w:val="24"/>
          <w:highlight w:val="none"/>
          <w:lang w:val="en-US" w:eastAsia="zh-CN"/>
        </w:rPr>
        <w:t>2.</w:t>
      </w:r>
      <w:r>
        <w:rPr>
          <w:rFonts w:hint="eastAsia" w:asciiTheme="minorEastAsia" w:hAnsiTheme="minorEastAsia" w:eastAsiaTheme="minorEastAsia" w:cstheme="minorEastAsia"/>
          <w:color w:val="auto"/>
          <w:sz w:val="24"/>
          <w:szCs w:val="24"/>
          <w:highlight w:val="none"/>
          <w:shd w:val="clear" w:color="auto" w:fill="FFFFFF"/>
        </w:rPr>
        <w:t>服务成果</w:t>
      </w:r>
    </w:p>
    <w:p w14:paraId="0B14842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stheme="minorEastAsia"/>
          <w:color w:val="auto"/>
          <w:sz w:val="24"/>
          <w:szCs w:val="24"/>
          <w:highlight w:val="none"/>
          <w:shd w:val="clear" w:color="auto" w:fill="FFFFFF"/>
        </w:rPr>
      </w:pPr>
      <w:r>
        <w:rPr>
          <w:rFonts w:hint="eastAsia" w:asciiTheme="minorEastAsia" w:hAnsiTheme="minorEastAsia" w:eastAsiaTheme="minorEastAsia" w:cstheme="minorEastAsia"/>
          <w:color w:val="auto"/>
          <w:sz w:val="24"/>
          <w:szCs w:val="24"/>
          <w:highlight w:val="none"/>
          <w:shd w:val="clear" w:color="auto" w:fill="FFFFFF"/>
          <w:lang w:val="en-US" w:eastAsia="zh-CN"/>
        </w:rPr>
        <w:t>成交供应商</w:t>
      </w:r>
      <w:r>
        <w:rPr>
          <w:rFonts w:hint="eastAsia" w:asciiTheme="minorEastAsia" w:hAnsiTheme="minorEastAsia" w:eastAsiaTheme="minorEastAsia" w:cstheme="minorEastAsia"/>
          <w:color w:val="auto"/>
          <w:sz w:val="24"/>
          <w:szCs w:val="24"/>
          <w:highlight w:val="none"/>
          <w:shd w:val="clear" w:color="auto" w:fill="FFFFFF"/>
        </w:rPr>
        <w:t>在收到所需的技术资料和具备工作环境后的</w:t>
      </w:r>
      <w:r>
        <w:rPr>
          <w:rFonts w:hint="eastAsia" w:asciiTheme="minorEastAsia" w:hAnsiTheme="minorEastAsia" w:eastAsiaTheme="minorEastAsia" w:cstheme="minorEastAsia"/>
          <w:color w:val="auto"/>
          <w:sz w:val="24"/>
          <w:szCs w:val="24"/>
          <w:highlight w:val="none"/>
          <w:shd w:val="clear" w:color="auto" w:fill="FFFFFF"/>
          <w:lang w:val="en-US" w:eastAsia="zh-CN"/>
        </w:rPr>
        <w:t>90个日历日</w:t>
      </w:r>
      <w:r>
        <w:rPr>
          <w:rFonts w:hint="eastAsia" w:asciiTheme="minorEastAsia" w:hAnsiTheme="minorEastAsia" w:eastAsiaTheme="minorEastAsia" w:cstheme="minorEastAsia"/>
          <w:color w:val="auto"/>
          <w:sz w:val="24"/>
          <w:szCs w:val="24"/>
          <w:highlight w:val="none"/>
          <w:shd w:val="clear" w:color="auto" w:fill="FFFFFF"/>
        </w:rPr>
        <w:t>内(不含系统整改时间)完成信息技术应用创新改造项目符合性测试，并出具《信息技术应用创新符合性测试报告》</w:t>
      </w:r>
      <w:r>
        <w:rPr>
          <w:rFonts w:hint="eastAsia" w:asciiTheme="minorEastAsia" w:hAnsiTheme="minorEastAsia" w:eastAsiaTheme="minorEastAsia" w:cstheme="minorEastAsia"/>
          <w:color w:val="auto"/>
          <w:sz w:val="24"/>
          <w:szCs w:val="24"/>
          <w:highlight w:val="none"/>
          <w:shd w:val="clear" w:color="auto" w:fill="FFFFFF"/>
          <w:lang w:eastAsia="zh-CN"/>
        </w:rPr>
        <w:t>，</w:t>
      </w:r>
      <w:r>
        <w:rPr>
          <w:rFonts w:hint="eastAsia" w:asciiTheme="minorEastAsia" w:hAnsiTheme="minorEastAsia" w:eastAsiaTheme="minorEastAsia" w:cstheme="minorEastAsia"/>
          <w:color w:val="auto"/>
          <w:sz w:val="24"/>
          <w:szCs w:val="24"/>
          <w:highlight w:val="none"/>
          <w:shd w:val="clear" w:color="auto" w:fill="FFFFFF"/>
        </w:rPr>
        <w:t>所有费用包含在投标报价中。</w:t>
      </w:r>
    </w:p>
    <w:p w14:paraId="226CC4DF">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jc w:val="both"/>
        <w:textAlignment w:val="auto"/>
        <w:outlineLvl w:val="2"/>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（五）技术服务质量要求</w:t>
      </w:r>
    </w:p>
    <w:p w14:paraId="2563F98B">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1.为保证服务质量，投入的测试测评团队人员不少于6人，具体名单如下：</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500"/>
        <w:gridCol w:w="2747"/>
        <w:gridCol w:w="3899"/>
        <w:gridCol w:w="954"/>
      </w:tblGrid>
      <w:tr w14:paraId="5894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14:paraId="377EDA49">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序号</w:t>
            </w:r>
          </w:p>
        </w:tc>
        <w:tc>
          <w:tcPr>
            <w:tcW w:w="1500" w:type="dxa"/>
          </w:tcPr>
          <w:p w14:paraId="389CAC19">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岗位/岗位职责</w:t>
            </w:r>
          </w:p>
        </w:tc>
        <w:tc>
          <w:tcPr>
            <w:tcW w:w="2747" w:type="dxa"/>
          </w:tcPr>
          <w:p w14:paraId="3E5F7F4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岗位职责</w:t>
            </w:r>
          </w:p>
        </w:tc>
        <w:tc>
          <w:tcPr>
            <w:tcW w:w="3899" w:type="dxa"/>
          </w:tcPr>
          <w:p w14:paraId="56BF851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资质要求</w:t>
            </w:r>
          </w:p>
        </w:tc>
        <w:tc>
          <w:tcPr>
            <w:tcW w:w="954" w:type="dxa"/>
          </w:tcPr>
          <w:p w14:paraId="2BAD36BE">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最低</w:t>
            </w:r>
          </w:p>
          <w:p w14:paraId="25959624">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rPr>
              <w:t>配置</w:t>
            </w:r>
          </w:p>
        </w:tc>
      </w:tr>
      <w:tr w14:paraId="5D35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vAlign w:val="center"/>
          </w:tcPr>
          <w:p w14:paraId="15FD22FA">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1</w:t>
            </w:r>
          </w:p>
        </w:tc>
        <w:tc>
          <w:tcPr>
            <w:tcW w:w="1500" w:type="dxa"/>
            <w:vAlign w:val="center"/>
          </w:tcPr>
          <w:p w14:paraId="2965DD04">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项目经理</w:t>
            </w:r>
          </w:p>
        </w:tc>
        <w:tc>
          <w:tcPr>
            <w:tcW w:w="2747" w:type="dxa"/>
            <w:vAlign w:val="center"/>
          </w:tcPr>
          <w:p w14:paraId="19E9AFE6">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统筹测试测评项目全流程，把控项目进度、质量与安全，协调各方完成测评交付</w:t>
            </w:r>
          </w:p>
        </w:tc>
        <w:tc>
          <w:tcPr>
            <w:tcW w:w="3899" w:type="dxa"/>
            <w:vAlign w:val="center"/>
          </w:tcPr>
          <w:p w14:paraId="7B388507">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sz w:val="24"/>
                <w:szCs w:val="24"/>
                <w:highlight w:val="none"/>
                <w:lang w:val="en-US" w:eastAsia="zh-CN"/>
              </w:rPr>
              <w:t>在具备等保高级测评师证书的基础上具备：（1）信息系统项目管理师证书；（2）商用密码应用安全性评估人员测评能力考核合格证明</w:t>
            </w:r>
          </w:p>
        </w:tc>
        <w:tc>
          <w:tcPr>
            <w:tcW w:w="954" w:type="dxa"/>
            <w:vAlign w:val="center"/>
          </w:tcPr>
          <w:p w14:paraId="16A9B9B7">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1人</w:t>
            </w:r>
          </w:p>
        </w:tc>
      </w:tr>
      <w:tr w14:paraId="0803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vAlign w:val="center"/>
          </w:tcPr>
          <w:p w14:paraId="09489535">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2</w:t>
            </w:r>
          </w:p>
        </w:tc>
        <w:tc>
          <w:tcPr>
            <w:tcW w:w="1500" w:type="dxa"/>
            <w:shd w:val="clear" w:color="auto" w:fill="auto"/>
            <w:vAlign w:val="center"/>
          </w:tcPr>
          <w:p w14:paraId="089999BF">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sz w:val="24"/>
                <w:szCs w:val="24"/>
                <w:highlight w:val="none"/>
                <w:lang w:val="en-US" w:eastAsia="zh-CN"/>
              </w:rPr>
              <w:t>等保测评技术负责人</w:t>
            </w:r>
          </w:p>
        </w:tc>
        <w:tc>
          <w:tcPr>
            <w:tcW w:w="2747" w:type="dxa"/>
            <w:shd w:val="clear" w:color="auto" w:fill="auto"/>
            <w:vAlign w:val="center"/>
          </w:tcPr>
          <w:p w14:paraId="1C677682">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负责等保测评技术工作，把控测评技术方案、质量，审核测评报告，处理技术疑难问题</w:t>
            </w:r>
          </w:p>
        </w:tc>
        <w:tc>
          <w:tcPr>
            <w:tcW w:w="3899" w:type="dxa"/>
            <w:shd w:val="clear" w:color="auto" w:fill="auto"/>
            <w:vAlign w:val="center"/>
          </w:tcPr>
          <w:p w14:paraId="07F8CB68">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（1）网络安全等级测评师证书（中级及以上）证书、（2）信息安全保障人员认证证书</w:t>
            </w:r>
          </w:p>
        </w:tc>
        <w:tc>
          <w:tcPr>
            <w:tcW w:w="954" w:type="dxa"/>
            <w:shd w:val="clear" w:color="auto" w:fill="auto"/>
            <w:vAlign w:val="center"/>
          </w:tcPr>
          <w:p w14:paraId="62ACE1A2">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1人</w:t>
            </w:r>
          </w:p>
        </w:tc>
      </w:tr>
      <w:tr w14:paraId="7583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vAlign w:val="center"/>
          </w:tcPr>
          <w:p w14:paraId="4D705A4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3</w:t>
            </w:r>
          </w:p>
        </w:tc>
        <w:tc>
          <w:tcPr>
            <w:tcW w:w="1500" w:type="dxa"/>
            <w:shd w:val="clear" w:color="auto" w:fill="auto"/>
            <w:vAlign w:val="center"/>
          </w:tcPr>
          <w:p w14:paraId="1E989198">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密码评估技术负责人</w:t>
            </w:r>
          </w:p>
        </w:tc>
        <w:tc>
          <w:tcPr>
            <w:tcW w:w="2747" w:type="dxa"/>
            <w:shd w:val="clear" w:color="auto" w:fill="auto"/>
            <w:vAlign w:val="center"/>
          </w:tcPr>
          <w:p w14:paraId="2DFDB63E">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sz w:val="24"/>
                <w:szCs w:val="24"/>
                <w:highlight w:val="none"/>
                <w:lang w:val="en-US" w:eastAsia="zh-CN"/>
              </w:rPr>
              <w:t>负责</w:t>
            </w:r>
            <w:r>
              <w:rPr>
                <w:rFonts w:hint="eastAsia" w:asciiTheme="minorEastAsia" w:hAnsiTheme="minorEastAsia" w:eastAsiaTheme="minorEastAsia" w:cstheme="minorEastAsia"/>
                <w:b w:val="0"/>
                <w:bCs/>
                <w:sz w:val="24"/>
                <w:szCs w:val="24"/>
                <w:highlight w:val="none"/>
              </w:rPr>
              <w:t>统筹密码评估技术实施，审核评估方案与报告，处置密码测评技术难点，把控评估质量</w:t>
            </w:r>
          </w:p>
        </w:tc>
        <w:tc>
          <w:tcPr>
            <w:tcW w:w="3899" w:type="dxa"/>
            <w:shd w:val="clear" w:color="auto" w:fill="auto"/>
            <w:vAlign w:val="center"/>
          </w:tcPr>
          <w:p w14:paraId="505F0ED8">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sz w:val="24"/>
                <w:szCs w:val="24"/>
                <w:highlight w:val="none"/>
                <w:lang w:val="en-US" w:eastAsia="zh-CN"/>
              </w:rPr>
              <w:t>（1）</w:t>
            </w:r>
            <w:r>
              <w:rPr>
                <w:rFonts w:hint="eastAsia" w:asciiTheme="minorEastAsia" w:hAnsiTheme="minorEastAsia" w:eastAsiaTheme="minorEastAsia" w:cstheme="minorEastAsia"/>
                <w:sz w:val="24"/>
                <w:szCs w:val="24"/>
                <w:highlight w:val="none"/>
              </w:rPr>
              <w:t>密码技术应用员职业技能等级证书（三级</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highlight w:val="none"/>
              </w:rPr>
              <w:t>高级工及以上）</w:t>
            </w:r>
            <w:r>
              <w:rPr>
                <w:rFonts w:hint="eastAsia" w:asciiTheme="minorEastAsia" w:hAnsiTheme="minorEastAsia" w:eastAsiaTheme="minorEastAsia" w:cstheme="minorEastAsia"/>
                <w:b w:val="0"/>
                <w:bCs/>
                <w:sz w:val="24"/>
                <w:szCs w:val="24"/>
                <w:highlight w:val="none"/>
                <w:lang w:val="en-US" w:eastAsia="zh-CN"/>
              </w:rPr>
              <w:t>、（2）商用密码应用安全性评估人员测评能力考核合格证明</w:t>
            </w:r>
          </w:p>
        </w:tc>
        <w:tc>
          <w:tcPr>
            <w:tcW w:w="954" w:type="dxa"/>
            <w:shd w:val="clear" w:color="auto" w:fill="auto"/>
            <w:vAlign w:val="center"/>
          </w:tcPr>
          <w:p w14:paraId="30BAED7E">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1人</w:t>
            </w:r>
          </w:p>
        </w:tc>
      </w:tr>
      <w:tr w14:paraId="6C7E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vAlign w:val="center"/>
          </w:tcPr>
          <w:p w14:paraId="7DF82B30">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rPr>
            </w:pPr>
            <w:r>
              <w:rPr>
                <w:rFonts w:hint="eastAsia" w:asciiTheme="minorEastAsia" w:hAnsiTheme="minorEastAsia" w:eastAsiaTheme="minorEastAsia" w:cstheme="minorEastAsia"/>
                <w:b w:val="0"/>
                <w:bCs/>
                <w:color w:val="auto"/>
                <w:sz w:val="24"/>
                <w:szCs w:val="24"/>
                <w:highlight w:val="none"/>
                <w:vertAlign w:val="baseline"/>
                <w:lang w:val="en-US" w:eastAsia="zh-CN"/>
              </w:rPr>
              <w:t>4</w:t>
            </w:r>
          </w:p>
        </w:tc>
        <w:tc>
          <w:tcPr>
            <w:tcW w:w="1500" w:type="dxa"/>
            <w:shd w:val="clear" w:color="auto" w:fill="auto"/>
            <w:vAlign w:val="center"/>
          </w:tcPr>
          <w:p w14:paraId="74B03401">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系统测试、等保、密评执行人员</w:t>
            </w:r>
          </w:p>
        </w:tc>
        <w:tc>
          <w:tcPr>
            <w:tcW w:w="2747" w:type="dxa"/>
            <w:shd w:val="clear" w:color="auto" w:fill="auto"/>
            <w:vAlign w:val="center"/>
          </w:tcPr>
          <w:p w14:paraId="5695478B">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sz w:val="24"/>
                <w:szCs w:val="24"/>
                <w:highlight w:val="none"/>
                <w:lang w:val="en-US" w:eastAsia="zh-CN"/>
              </w:rPr>
              <w:t>完成本项目系统测试、等保测评与密码评估实施工作</w:t>
            </w:r>
          </w:p>
        </w:tc>
        <w:tc>
          <w:tcPr>
            <w:tcW w:w="3899" w:type="dxa"/>
            <w:shd w:val="clear" w:color="auto" w:fill="auto"/>
            <w:vAlign w:val="center"/>
          </w:tcPr>
          <w:p w14:paraId="14FB1EC5">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具备开展系统测试、等保测评、密评服务活动相适应的初级专业证书</w:t>
            </w:r>
          </w:p>
        </w:tc>
        <w:tc>
          <w:tcPr>
            <w:tcW w:w="954" w:type="dxa"/>
            <w:shd w:val="clear" w:color="auto" w:fill="auto"/>
            <w:vAlign w:val="center"/>
          </w:tcPr>
          <w:p w14:paraId="45C5234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cstheme="minorEastAsia"/>
                <w:b w:val="0"/>
                <w:bCs/>
                <w:color w:val="auto"/>
                <w:sz w:val="24"/>
                <w:szCs w:val="24"/>
                <w:highlight w:val="none"/>
                <w:vertAlign w:val="baseline"/>
                <w:lang w:val="en-US" w:eastAsia="zh-CN" w:bidi="ar-SA"/>
              </w:rPr>
            </w:pPr>
            <w:r>
              <w:rPr>
                <w:rFonts w:hint="eastAsia" w:asciiTheme="minorEastAsia" w:hAnsiTheme="minorEastAsia" w:eastAsiaTheme="minorEastAsia" w:cstheme="minorEastAsia"/>
                <w:b w:val="0"/>
                <w:bCs/>
                <w:color w:val="auto"/>
                <w:sz w:val="24"/>
                <w:szCs w:val="24"/>
                <w:highlight w:val="none"/>
                <w:vertAlign w:val="baseline"/>
                <w:lang w:val="en-US" w:eastAsia="zh-CN"/>
              </w:rPr>
              <w:t>不少于3人</w:t>
            </w:r>
          </w:p>
        </w:tc>
      </w:tr>
      <w:tr w14:paraId="4B5E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608" w:type="dxa"/>
            <w:gridSpan w:val="5"/>
          </w:tcPr>
          <w:p w14:paraId="71CBA735">
            <w:pPr>
              <w:pStyle w:val="31"/>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outlineLvl w:val="9"/>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注：1、供应商需在响应文件中提供上述人员清单（清单明确各人员姓名、联系方式、任职岗位、教育背景、证书）、专项承诺函（承诺所拟派人员满足上述人员资质要求并于合同签订后人员进场前向采购人提供所有人员完整佐证材料和所派人员近六个月任意一个月供应商为其缴纳社保的证明材料）（格式自拟）</w:t>
            </w:r>
            <w:r>
              <w:rPr>
                <w:rFonts w:hint="eastAsia" w:asciiTheme="minorEastAsia" w:hAnsiTheme="minorEastAsia" w:eastAsiaTheme="minorEastAsia" w:cstheme="minorEastAsia"/>
                <w:b/>
                <w:bCs/>
                <w:color w:val="auto"/>
                <w:sz w:val="24"/>
                <w:szCs w:val="24"/>
                <w:highlight w:val="none"/>
                <w:lang w:val="en-US" w:eastAsia="zh-CN"/>
              </w:rPr>
              <w:t>并加盖供应商公章</w:t>
            </w:r>
            <w:r>
              <w:rPr>
                <w:rFonts w:hint="eastAsia" w:asciiTheme="minorEastAsia" w:hAnsiTheme="minorEastAsia" w:eastAsiaTheme="minorEastAsia" w:cstheme="minorEastAsia"/>
                <w:b/>
                <w:bCs w:val="0"/>
                <w:color w:val="auto"/>
                <w:sz w:val="24"/>
                <w:szCs w:val="24"/>
                <w:highlight w:val="none"/>
                <w:lang w:val="en-US" w:eastAsia="zh-CN"/>
              </w:rPr>
              <w:t>。逾期拒不提供、提交资料弄虚作假或材料核查不符合约定标准的，采购人有权单方终止合同、没收</w:t>
            </w:r>
            <w:r>
              <w:rPr>
                <w:rFonts w:hint="eastAsia" w:asciiTheme="minorEastAsia" w:hAnsiTheme="minorEastAsia" w:cstheme="minorEastAsia"/>
                <w:b/>
                <w:bCs w:val="0"/>
                <w:color w:val="auto"/>
                <w:sz w:val="24"/>
                <w:szCs w:val="24"/>
                <w:highlight w:val="none"/>
                <w:lang w:val="en-US" w:eastAsia="zh-CN"/>
              </w:rPr>
              <w:t>履约保证金</w:t>
            </w:r>
            <w:r>
              <w:rPr>
                <w:rFonts w:hint="eastAsia" w:asciiTheme="minorEastAsia" w:hAnsiTheme="minorEastAsia" w:eastAsiaTheme="minorEastAsia" w:cstheme="minorEastAsia"/>
                <w:b/>
                <w:bCs w:val="0"/>
                <w:color w:val="auto"/>
                <w:sz w:val="24"/>
                <w:szCs w:val="24"/>
                <w:highlight w:val="none"/>
                <w:lang w:val="en-US" w:eastAsia="zh-CN"/>
              </w:rPr>
              <w:t>，成交供应商须全额赔偿采购人全部经济损失，并自行承担由此产生的违约金、行政处罚及相关全部法律责任。</w:t>
            </w:r>
          </w:p>
          <w:p w14:paraId="1AC17F08">
            <w:pPr>
              <w:pStyle w:val="31"/>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outlineLvl w:val="9"/>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2、团队人员一人一岗，不得兼任多个岗位。</w:t>
            </w:r>
          </w:p>
          <w:p w14:paraId="4914E0AE">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0" w:firstLineChars="0"/>
              <w:jc w:val="both"/>
              <w:textAlignment w:val="auto"/>
              <w:outlineLvl w:val="9"/>
              <w:rPr>
                <w:rFonts w:hint="eastAsia" w:asciiTheme="minorEastAsia" w:hAnsiTheme="minorEastAsia" w:eastAsiaTheme="minorEastAsia" w:cstheme="minorEastAsia"/>
                <w:b/>
                <w:bCs w:val="0"/>
                <w:color w:val="auto"/>
                <w:sz w:val="24"/>
                <w:szCs w:val="24"/>
                <w:highlight w:val="none"/>
                <w:vertAlign w:val="baseline"/>
                <w:lang w:val="en-US" w:eastAsia="zh-CN"/>
              </w:rPr>
            </w:pPr>
            <w:r>
              <w:rPr>
                <w:rFonts w:hint="eastAsia" w:asciiTheme="minorEastAsia" w:hAnsiTheme="minorEastAsia" w:eastAsiaTheme="minorEastAsia" w:cstheme="minorEastAsia"/>
                <w:b/>
                <w:bCs w:val="0"/>
                <w:color w:val="auto"/>
                <w:sz w:val="24"/>
                <w:szCs w:val="24"/>
                <w:highlight w:val="none"/>
                <w:vertAlign w:val="baseline"/>
                <w:lang w:val="en-US" w:eastAsia="zh-CN" w:bidi="ar-SA"/>
              </w:rPr>
              <w:t>3、</w:t>
            </w:r>
            <w:r>
              <w:rPr>
                <w:rFonts w:hint="eastAsia" w:asciiTheme="minorEastAsia" w:hAnsiTheme="minorEastAsia" w:eastAsiaTheme="minorEastAsia" w:cstheme="minorEastAsia"/>
                <w:b/>
                <w:bCs w:val="0"/>
                <w:color w:val="auto"/>
                <w:sz w:val="24"/>
                <w:szCs w:val="24"/>
                <w:highlight w:val="none"/>
                <w:lang w:val="en-US" w:eastAsia="zh-CN"/>
              </w:rPr>
              <w:t>本项目进场实施人员将严格按照响应文件所附项目团队人员清单执行，所有现场进场人员均与清单人员保持一致，无擅自更换、替换核心人员情况。人员进场时，成交供应商需统一出具加盖公司公章的人员介绍信、身份证明、岗位资质证明等相关材料，接受采购人核验。若项目执行过程中确需调整人员，成交供应商须提前向采购人提交书面变更申请，经采购人书面同意后方可更换，更换人员资质、从业经验不得低于原清单人员标准，严格遵守谈判文件人员管理相关要求。</w:t>
            </w:r>
          </w:p>
        </w:tc>
      </w:tr>
    </w:tbl>
    <w:p w14:paraId="23203070">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为确保供应商在本项目测评现场具有应急处理能力，在提供测试测评过程中出现突发事件的应急响应，能够快速应对突发事件，并承诺处理事件的工程师在0.5小时内进行远程服务应答和反馈；若需要现场支撑时，需在应答和反馈后的1小时内安排至少1名具有处理事件能力的工程师到达现场处理。</w:t>
      </w:r>
      <w:r>
        <w:rPr>
          <w:rFonts w:hint="eastAsia" w:asciiTheme="minorEastAsia" w:hAnsiTheme="minorEastAsia" w:eastAsiaTheme="minorEastAsia" w:cstheme="minorEastAsia"/>
          <w:b/>
          <w:bCs w:val="0"/>
          <w:color w:val="auto"/>
          <w:sz w:val="24"/>
          <w:szCs w:val="24"/>
          <w:highlight w:val="none"/>
          <w:lang w:val="en-US" w:eastAsia="zh-CN"/>
        </w:rPr>
        <w:t>（注：供应商须单独提供承诺函，格式自拟）</w:t>
      </w:r>
    </w:p>
    <w:p w14:paraId="06ECBBB1">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供应商在测试测评期间现场发现的问题，以书面形式通知系统承建单位，同时抄送采购人及监理单位，并提供整改建议方案。供应商待系统承建单位整改完成并提交正式整改报告后，进行复测直到测试测评合格。</w:t>
      </w:r>
    </w:p>
    <w:p w14:paraId="17473D2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4.基于安全考虑，供应商所投入使用的测评工具和密码测评工具须符合国家标准、行业标准及相关法律法规规定，须具备如下功能：</w:t>
      </w:r>
    </w:p>
    <w:p w14:paraId="70097367">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4.1测评工具</w:t>
      </w:r>
    </w:p>
    <w:p w14:paraId="5E51CA64">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strike w:val="0"/>
          <w:color w:val="auto"/>
          <w:sz w:val="24"/>
          <w:szCs w:val="24"/>
          <w:highlight w:val="none"/>
          <w:lang w:val="en-US" w:eastAsia="zh-CN"/>
        </w:rPr>
        <w:t>①</w:t>
      </w:r>
      <w:r>
        <w:rPr>
          <w:rFonts w:hint="eastAsia" w:asciiTheme="minorEastAsia" w:hAnsiTheme="minorEastAsia" w:eastAsiaTheme="minorEastAsia" w:cstheme="minorEastAsia"/>
          <w:b w:val="0"/>
          <w:bCs/>
          <w:color w:val="auto"/>
          <w:sz w:val="24"/>
          <w:szCs w:val="24"/>
          <w:highlight w:val="none"/>
          <w:lang w:val="en-US" w:eastAsia="zh-CN"/>
        </w:rPr>
        <w:t>具备有效防止终端设备遭受 DoS（拒绝服务）与DDoS（分布式拒绝服务）攻击，保障终端设备的网络可用性与运行稳定性。并支持与现有网络基础设施（如三层交换机）建立联动机制，实现与交换机的协同管控，可对违规终端执行联动阻断操作，实现设备终端精准接入与有效的网络访问控制；</w:t>
      </w:r>
    </w:p>
    <w:p w14:paraId="19B7CC86">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②支持异常行为管控支持旁路阻断，阻断方式包含交换机联动阻断、TCP阻断、ARP阻断。</w:t>
      </w:r>
    </w:p>
    <w:p w14:paraId="337B91B4">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③在测评过程中具备测评过程安全管控能力，在测评过程中可对测评工具自身及测评采集数据实现防入侵、防攻击、防病毒、防篡改、防泄露管控，规避测评工具被利用、测评数据外泄风险。</w:t>
      </w:r>
    </w:p>
    <w:p w14:paraId="746DCEB8">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4.2密码测评工具</w:t>
      </w:r>
    </w:p>
    <w:p w14:paraId="02857BE5">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①符合国家密码行业标准，支持主流密码加解密运算和算法验证。 1) 分组密码算法：支持 SM4、AES等算法； 2) 公钥算法：支持 SM2、SM9、RSA（2048及以上）、ECDSA、ECDH等算法；3) 流密码算法：支持 ZUC、ChaCha20等算法； 4) 哈希算法：支持 SHA2 系列、SHA3 系列和 SM3 等哈希算法以及对应的 HMAC 算法。</w:t>
      </w:r>
    </w:p>
    <w:p w14:paraId="2F32BAB9">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②在密码测评服务中对被测密码的密码加密算法进行测试及数据分析时，至少使用PKCS#1及PKCS#7两种或以上的加密消息语法标准进行签名和验签操作，确保被测结果的准确性。</w:t>
      </w:r>
    </w:p>
    <w:p w14:paraId="737A7A2C">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③支持对常见加密协议的分析，包括国密 IPSec、国密 SSL/TLS （TLCP）等。</w:t>
      </w:r>
    </w:p>
    <w:p w14:paraId="393F38CD">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jc w:val="both"/>
        <w:textAlignment w:val="auto"/>
        <w:outlineLvl w:val="9"/>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注：供应商需在响应文件中提供专项承诺函（承诺采用的工具满足上述要求并于</w:t>
      </w:r>
      <w:r>
        <w:rPr>
          <w:rFonts w:hint="eastAsia" w:asciiTheme="minorEastAsia" w:hAnsiTheme="minorEastAsia" w:eastAsiaTheme="minorEastAsia" w:cstheme="minorEastAsia"/>
          <w:b/>
          <w:bCs w:val="0"/>
          <w:color w:val="auto"/>
          <w:sz w:val="24"/>
          <w:szCs w:val="24"/>
          <w:highlight w:val="none"/>
          <w:lang w:val="en-US" w:eastAsia="zh-CN"/>
        </w:rPr>
        <w:t>合同签订后人员进场前</w:t>
      </w:r>
      <w:r>
        <w:rPr>
          <w:rFonts w:hint="eastAsia" w:asciiTheme="minorEastAsia" w:hAnsiTheme="minorEastAsia" w:eastAsiaTheme="minorEastAsia" w:cstheme="minorEastAsia"/>
          <w:b/>
          <w:bCs/>
          <w:color w:val="auto"/>
          <w:sz w:val="24"/>
          <w:szCs w:val="24"/>
          <w:highlight w:val="none"/>
          <w:lang w:val="en-US" w:eastAsia="zh-CN"/>
        </w:rPr>
        <w:t>向采购人提供功能界面截图及对应工具的软件著作权证书复印件）（格式自拟）并加盖供应商公章。逾期拒不提供、提交资料弄虚作假或材料核查不符合约定标准的，采购人有权单方终止合同、没收</w:t>
      </w:r>
      <w:r>
        <w:rPr>
          <w:rFonts w:hint="eastAsia" w:asciiTheme="minorEastAsia" w:hAnsiTheme="minorEastAsia" w:cstheme="minorEastAsia"/>
          <w:b/>
          <w:bCs w:val="0"/>
          <w:color w:val="auto"/>
          <w:sz w:val="24"/>
          <w:szCs w:val="24"/>
          <w:highlight w:val="none"/>
          <w:lang w:val="en-US" w:eastAsia="zh-CN"/>
        </w:rPr>
        <w:t>履约保证金</w:t>
      </w:r>
      <w:r>
        <w:rPr>
          <w:rFonts w:hint="eastAsia" w:asciiTheme="minorEastAsia" w:hAnsiTheme="minorEastAsia" w:eastAsiaTheme="minorEastAsia" w:cstheme="minorEastAsia"/>
          <w:b/>
          <w:bCs w:val="0"/>
          <w:color w:val="auto"/>
          <w:sz w:val="24"/>
          <w:szCs w:val="24"/>
          <w:highlight w:val="none"/>
          <w:lang w:val="en-US" w:eastAsia="zh-CN"/>
        </w:rPr>
        <w:t>，成交供应商须全额赔偿采购人全部经济损失，并自行承担由此产生的违约金、行政处罚及相关全部法律责任。</w:t>
      </w:r>
    </w:p>
    <w:p w14:paraId="530EE5A3">
      <w:pPr>
        <w:pStyle w:val="31"/>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成交供应商除应履行出具测试测评成果文件的职责外，还须在智能化项目建设阶段‌保持全程技术支持‌，‌定期参与项目关键节点评审‌，并以‌书面形式‌为项目建设提供专业指导意见与技术建议。</w:t>
      </w:r>
    </w:p>
    <w:p w14:paraId="237F7D34">
      <w:pPr>
        <w:pStyle w:val="31"/>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cstheme="minorEastAsia"/>
          <w:bCs/>
          <w:color w:val="auto"/>
          <w:sz w:val="24"/>
          <w:szCs w:val="24"/>
          <w:highlight w:val="none"/>
          <w:lang w:eastAsia="zh-CN"/>
        </w:rPr>
        <w:t>成交供应商需全程主动配合、全力协助采购人完成全套网络安全管理制度体系的调研、梳理、编制、修订与落地适配工作，协助采购人搭建全面、规范、贴合实际、可落地、可</w:t>
      </w:r>
      <w:r>
        <w:rPr>
          <w:rFonts w:hint="eastAsia" w:asciiTheme="minorEastAsia" w:hAnsiTheme="minorEastAsia" w:cstheme="minorEastAsia"/>
          <w:bCs/>
          <w:color w:val="auto"/>
          <w:sz w:val="24"/>
          <w:szCs w:val="24"/>
          <w:highlight w:val="none"/>
          <w:lang w:val="en-US" w:eastAsia="zh-CN"/>
        </w:rPr>
        <w:t>量化</w:t>
      </w:r>
      <w:r>
        <w:rPr>
          <w:rFonts w:hint="eastAsia" w:asciiTheme="minorEastAsia" w:hAnsiTheme="minorEastAsia" w:cstheme="minorEastAsia"/>
          <w:bCs/>
          <w:color w:val="auto"/>
          <w:sz w:val="24"/>
          <w:szCs w:val="24"/>
          <w:highlight w:val="none"/>
          <w:lang w:eastAsia="zh-CN"/>
        </w:rPr>
        <w:t>考核的网络安全管理制度体系；配合采购人完成制度落地宣贯、答疑解读</w:t>
      </w:r>
      <w:r>
        <w:rPr>
          <w:rFonts w:hint="eastAsia" w:asciiTheme="minorEastAsia" w:hAnsiTheme="minorEastAsia" w:cstheme="minorEastAsia"/>
          <w:bCs/>
          <w:color w:val="auto"/>
          <w:sz w:val="24"/>
          <w:szCs w:val="24"/>
          <w:highlight w:val="none"/>
          <w:lang w:val="en-US" w:eastAsia="zh-CN"/>
        </w:rPr>
        <w:t>等</w:t>
      </w:r>
      <w:r>
        <w:rPr>
          <w:rFonts w:hint="eastAsia" w:asciiTheme="minorEastAsia" w:hAnsiTheme="minorEastAsia" w:cstheme="minorEastAsia"/>
          <w:bCs/>
          <w:color w:val="auto"/>
          <w:sz w:val="24"/>
          <w:szCs w:val="24"/>
          <w:highlight w:val="none"/>
          <w:lang w:eastAsia="zh-CN"/>
        </w:rPr>
        <w:t>工作。</w:t>
      </w:r>
    </w:p>
    <w:p w14:paraId="57FA1FDE">
      <w:pPr>
        <w:pStyle w:val="31"/>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cstheme="minorEastAsia"/>
          <w:b w:val="0"/>
          <w:bCs/>
          <w:color w:val="auto"/>
          <w:sz w:val="24"/>
          <w:szCs w:val="24"/>
          <w:highlight w:val="none"/>
          <w:lang w:val="en-US" w:eastAsia="zh-CN"/>
        </w:rPr>
        <w:t>单项测试测评工作提请验收时，成交供应商应提供书面测试测评成果报告（加盖印章）3份，如通过有关部门备案的，应出具相应的备案证明，如邀请专家评审的，应出具书面专家意见。</w:t>
      </w:r>
    </w:p>
    <w:p w14:paraId="71A594FF">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2"/>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eastAsia="zh-CN"/>
        </w:rPr>
        <w:t>（</w:t>
      </w:r>
      <w:r>
        <w:rPr>
          <w:rFonts w:hint="eastAsia" w:asciiTheme="minorEastAsia" w:hAnsiTheme="minorEastAsia" w:eastAsiaTheme="minorEastAsia" w:cstheme="minorEastAsia"/>
          <w:b/>
          <w:bCs w:val="0"/>
          <w:color w:val="auto"/>
          <w:sz w:val="24"/>
          <w:szCs w:val="24"/>
          <w:highlight w:val="none"/>
          <w:lang w:val="en-US" w:eastAsia="zh-CN"/>
        </w:rPr>
        <w:t>六</w:t>
      </w:r>
      <w:r>
        <w:rPr>
          <w:rFonts w:hint="eastAsia" w:asciiTheme="minorEastAsia" w:hAnsiTheme="minorEastAsia" w:eastAsiaTheme="minorEastAsia" w:cstheme="minorEastAsia"/>
          <w:b/>
          <w:bCs w:val="0"/>
          <w:color w:val="auto"/>
          <w:sz w:val="24"/>
          <w:szCs w:val="24"/>
          <w:highlight w:val="none"/>
          <w:lang w:eastAsia="zh-CN"/>
        </w:rPr>
        <w:t>）</w:t>
      </w:r>
      <w:r>
        <w:rPr>
          <w:rFonts w:hint="eastAsia" w:asciiTheme="minorEastAsia" w:hAnsiTheme="minorEastAsia" w:eastAsiaTheme="minorEastAsia" w:cstheme="minorEastAsia"/>
          <w:b/>
          <w:bCs w:val="0"/>
          <w:color w:val="auto"/>
          <w:sz w:val="24"/>
          <w:szCs w:val="24"/>
          <w:highlight w:val="none"/>
          <w:lang w:val="en-US" w:eastAsia="zh-CN"/>
        </w:rPr>
        <w:t>报价要求</w:t>
      </w:r>
    </w:p>
    <w:p w14:paraId="267BA315">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1.供应商须对系统测试、网络安全等级保护测评、商用密码应用安全性评估、</w:t>
      </w:r>
      <w:r>
        <w:rPr>
          <w:rFonts w:hint="eastAsia" w:asciiTheme="minorEastAsia" w:hAnsiTheme="minorEastAsia" w:eastAsiaTheme="minorEastAsia" w:cstheme="minorEastAsia"/>
          <w:b w:val="0"/>
          <w:bCs w:val="0"/>
          <w:sz w:val="24"/>
          <w:szCs w:val="24"/>
          <w:highlight w:val="none"/>
          <w:lang w:val="en-US" w:eastAsia="zh-CN"/>
        </w:rPr>
        <w:t>信创符合性测试以上4项服务进行分项报价，未进行分项报价的按无效响应处理。</w:t>
      </w:r>
    </w:p>
    <w:p w14:paraId="4914CE0E">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kern w:val="2"/>
          <w:sz w:val="24"/>
          <w:szCs w:val="24"/>
          <w:highlight w:val="none"/>
          <w:shd w:val="clear" w:color="auto" w:fill="FFFFFF"/>
          <w:lang w:val="en-US" w:eastAsia="zh-CN"/>
        </w:rPr>
        <w:t>供应商</w:t>
      </w:r>
      <w:r>
        <w:rPr>
          <w:rFonts w:hint="eastAsia" w:asciiTheme="minorEastAsia" w:hAnsiTheme="minorEastAsia" w:eastAsiaTheme="minorEastAsia" w:cstheme="minorEastAsia"/>
          <w:color w:val="auto"/>
          <w:kern w:val="2"/>
          <w:sz w:val="24"/>
          <w:szCs w:val="24"/>
          <w:highlight w:val="none"/>
          <w:shd w:val="clear" w:color="auto" w:fill="FFFFFF"/>
        </w:rPr>
        <w:t>报价应包含服务的一切有关项目费用</w:t>
      </w:r>
      <w:r>
        <w:rPr>
          <w:rFonts w:hint="eastAsia" w:asciiTheme="minorEastAsia" w:hAnsiTheme="minorEastAsia" w:eastAsiaTheme="minorEastAsia" w:cstheme="minorEastAsia"/>
          <w:color w:val="auto"/>
          <w:kern w:val="2"/>
          <w:sz w:val="24"/>
          <w:szCs w:val="24"/>
          <w:highlight w:val="none"/>
          <w:shd w:val="clear" w:color="auto" w:fill="FFFFFF"/>
          <w:lang w:eastAsia="zh-CN"/>
        </w:rPr>
        <w:t>，</w:t>
      </w:r>
      <w:r>
        <w:rPr>
          <w:rFonts w:hint="eastAsia" w:asciiTheme="minorEastAsia" w:hAnsiTheme="minorEastAsia" w:eastAsiaTheme="minorEastAsia" w:cstheme="minorEastAsia"/>
          <w:color w:val="auto"/>
          <w:kern w:val="2"/>
          <w:sz w:val="24"/>
          <w:szCs w:val="24"/>
          <w:highlight w:val="none"/>
          <w:shd w:val="clear" w:color="auto" w:fill="FFFFFF"/>
          <w:lang w:val="en-US" w:eastAsia="zh-CN"/>
        </w:rPr>
        <w:t>包括但不限于本项目</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rPr>
        <w:t>测评与测试实施服务费</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eastAsia="zh-CN"/>
        </w:rPr>
        <w:t>、</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rPr>
        <w:t>整改咨询</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eastAsia="zh-CN"/>
        </w:rPr>
        <w:t>（</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val="en-US" w:eastAsia="zh-CN"/>
        </w:rPr>
        <w:t>含复测复评</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eastAsia="zh-CN"/>
        </w:rPr>
        <w:t>）</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rPr>
        <w:t>与技术支持费</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eastAsia="zh-CN"/>
        </w:rPr>
        <w:t>、</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rPr>
        <w:t>报告编制与认证费用</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lang w:eastAsia="zh-CN"/>
        </w:rPr>
        <w:t>、</w:t>
      </w:r>
      <w:r>
        <w:rPr>
          <w:rStyle w:val="22"/>
          <w:rFonts w:hint="eastAsia" w:asciiTheme="minorEastAsia" w:hAnsiTheme="minorEastAsia" w:eastAsiaTheme="minorEastAsia" w:cstheme="minorEastAsia"/>
          <w:b w:val="0"/>
          <w:bCs/>
          <w:i w:val="0"/>
          <w:iCs w:val="0"/>
          <w:caps w:val="0"/>
          <w:color w:val="auto"/>
          <w:spacing w:val="0"/>
          <w:sz w:val="24"/>
          <w:szCs w:val="24"/>
          <w:highlight w:val="none"/>
          <w:shd w:val="clear" w:fill="FFFFFF"/>
        </w:rPr>
        <w:t>项目管理与差旅成本</w:t>
      </w:r>
      <w:r>
        <w:rPr>
          <w:rFonts w:hint="eastAsia" w:asciiTheme="minorEastAsia" w:hAnsiTheme="minorEastAsia" w:eastAsiaTheme="minorEastAsia" w:cstheme="minorEastAsia"/>
          <w:bCs/>
          <w:color w:val="auto"/>
          <w:kern w:val="2"/>
          <w:sz w:val="24"/>
          <w:szCs w:val="24"/>
          <w:highlight w:val="none"/>
          <w:shd w:val="clear" w:color="auto" w:fill="FFFFFF"/>
          <w:lang w:val="en-US" w:eastAsia="zh-CN"/>
        </w:rPr>
        <w:t>、</w:t>
      </w:r>
      <w:r>
        <w:rPr>
          <w:rFonts w:hint="eastAsia" w:asciiTheme="minorEastAsia" w:hAnsiTheme="minorEastAsia" w:eastAsiaTheme="minorEastAsia" w:cstheme="minorEastAsia"/>
          <w:bCs/>
          <w:color w:val="auto"/>
          <w:kern w:val="2"/>
          <w:sz w:val="24"/>
          <w:szCs w:val="24"/>
          <w:highlight w:val="none"/>
          <w:shd w:val="clear" w:color="auto" w:fill="FFFFFF"/>
          <w:lang w:eastAsia="zh-CN"/>
        </w:rPr>
        <w:t>人员保险</w:t>
      </w:r>
      <w:r>
        <w:rPr>
          <w:rFonts w:hint="eastAsia" w:asciiTheme="minorEastAsia" w:hAnsiTheme="minorEastAsia" w:eastAsiaTheme="minorEastAsia" w:cstheme="minorEastAsia"/>
          <w:bCs/>
          <w:color w:val="auto"/>
          <w:kern w:val="2"/>
          <w:sz w:val="24"/>
          <w:szCs w:val="24"/>
          <w:highlight w:val="none"/>
          <w:shd w:val="clear" w:color="auto" w:fill="FFFFFF"/>
          <w:lang w:val="en-US" w:eastAsia="zh-CN"/>
        </w:rPr>
        <w:t>与</w:t>
      </w:r>
      <w:r>
        <w:rPr>
          <w:rFonts w:hint="eastAsia" w:asciiTheme="minorEastAsia" w:hAnsiTheme="minorEastAsia" w:eastAsiaTheme="minorEastAsia" w:cstheme="minorEastAsia"/>
          <w:bCs/>
          <w:color w:val="auto"/>
          <w:kern w:val="2"/>
          <w:sz w:val="24"/>
          <w:szCs w:val="24"/>
          <w:highlight w:val="none"/>
          <w:shd w:val="clear" w:color="auto" w:fill="FFFFFF"/>
          <w:lang w:eastAsia="zh-CN"/>
        </w:rPr>
        <w:t>现场安全防护</w:t>
      </w:r>
      <w:r>
        <w:rPr>
          <w:rFonts w:hint="eastAsia" w:asciiTheme="minorEastAsia" w:hAnsiTheme="minorEastAsia" w:eastAsiaTheme="minorEastAsia" w:cstheme="minorEastAsia"/>
          <w:bCs/>
          <w:color w:val="auto"/>
          <w:kern w:val="2"/>
          <w:sz w:val="24"/>
          <w:szCs w:val="24"/>
          <w:highlight w:val="none"/>
          <w:shd w:val="clear" w:color="auto" w:fill="FFFFFF"/>
          <w:lang w:val="en-US" w:eastAsia="zh-CN"/>
        </w:rPr>
        <w:t>费、</w:t>
      </w:r>
      <w:r>
        <w:rPr>
          <w:rFonts w:hint="eastAsia" w:asciiTheme="minorEastAsia" w:hAnsiTheme="minorEastAsia" w:eastAsiaTheme="minorEastAsia" w:cstheme="minorEastAsia"/>
          <w:bCs/>
          <w:color w:val="auto"/>
          <w:kern w:val="2"/>
          <w:sz w:val="24"/>
          <w:szCs w:val="24"/>
          <w:highlight w:val="none"/>
          <w:shd w:val="clear" w:color="auto" w:fill="FFFFFF"/>
          <w:lang w:eastAsia="zh-CN"/>
        </w:rPr>
        <w:t>第三方核验</w:t>
      </w:r>
      <w:r>
        <w:rPr>
          <w:rFonts w:hint="eastAsia" w:asciiTheme="minorEastAsia" w:hAnsiTheme="minorEastAsia" w:eastAsiaTheme="minorEastAsia" w:cstheme="minorEastAsia"/>
          <w:bCs/>
          <w:color w:val="auto"/>
          <w:kern w:val="2"/>
          <w:sz w:val="24"/>
          <w:szCs w:val="24"/>
          <w:highlight w:val="none"/>
          <w:shd w:val="clear" w:color="auto" w:fill="FFFFFF"/>
          <w:lang w:val="en-US" w:eastAsia="zh-CN"/>
        </w:rPr>
        <w:t>与</w:t>
      </w:r>
      <w:r>
        <w:rPr>
          <w:rFonts w:hint="eastAsia" w:asciiTheme="minorEastAsia" w:hAnsiTheme="minorEastAsia" w:eastAsiaTheme="minorEastAsia" w:cstheme="minorEastAsia"/>
          <w:bCs/>
          <w:color w:val="auto"/>
          <w:kern w:val="2"/>
          <w:sz w:val="24"/>
          <w:szCs w:val="24"/>
          <w:highlight w:val="none"/>
          <w:shd w:val="clear" w:color="auto" w:fill="FFFFFF"/>
          <w:lang w:eastAsia="zh-CN"/>
        </w:rPr>
        <w:t>送检费、</w:t>
      </w:r>
      <w:r>
        <w:rPr>
          <w:rFonts w:hint="eastAsia" w:asciiTheme="minorEastAsia" w:hAnsiTheme="minorEastAsia" w:eastAsiaTheme="minorEastAsia" w:cstheme="minorEastAsia"/>
          <w:bCs/>
          <w:color w:val="auto"/>
          <w:kern w:val="2"/>
          <w:sz w:val="24"/>
          <w:szCs w:val="24"/>
          <w:highlight w:val="none"/>
          <w:shd w:val="clear" w:color="auto" w:fill="FFFFFF"/>
          <w:lang w:val="en-US" w:eastAsia="zh-CN"/>
        </w:rPr>
        <w:t>专家评审与会务费、税费</w:t>
      </w:r>
      <w:r>
        <w:rPr>
          <w:rFonts w:hint="eastAsia" w:asciiTheme="minorEastAsia" w:hAnsiTheme="minorEastAsia" w:eastAsiaTheme="minorEastAsia" w:cstheme="minorEastAsia"/>
          <w:color w:val="auto"/>
          <w:kern w:val="2"/>
          <w:sz w:val="24"/>
          <w:szCs w:val="24"/>
          <w:highlight w:val="none"/>
          <w:shd w:val="clear" w:color="auto" w:fill="FFFFFF"/>
          <w:lang w:val="en-US" w:eastAsia="zh-CN"/>
        </w:rPr>
        <w:t>等所有费用，且已综合考虑了合同履行过程中的各项因素和风险，</w:t>
      </w:r>
      <w:r>
        <w:rPr>
          <w:rFonts w:hint="eastAsia" w:asciiTheme="minorEastAsia" w:hAnsiTheme="minorEastAsia" w:eastAsiaTheme="minorEastAsia" w:cstheme="minorEastAsia"/>
          <w:color w:val="auto"/>
          <w:kern w:val="2"/>
          <w:sz w:val="24"/>
          <w:szCs w:val="24"/>
          <w:highlight w:val="none"/>
          <w:shd w:val="clear" w:color="auto" w:fill="FFFFFF"/>
        </w:rPr>
        <w:t>还要考虑到合同中可能出现的索赔和变更，</w:t>
      </w:r>
      <w:r>
        <w:rPr>
          <w:rFonts w:hint="eastAsia" w:asciiTheme="minorEastAsia" w:hAnsiTheme="minorEastAsia" w:eastAsiaTheme="minorEastAsia" w:cstheme="minorEastAsia"/>
          <w:color w:val="auto"/>
          <w:kern w:val="2"/>
          <w:sz w:val="24"/>
          <w:szCs w:val="24"/>
          <w:highlight w:val="none"/>
          <w:shd w:val="clear" w:color="auto" w:fill="FFFFFF"/>
          <w:lang w:val="en-US" w:eastAsia="zh-CN"/>
        </w:rPr>
        <w:t>供应商</w:t>
      </w:r>
      <w:r>
        <w:rPr>
          <w:rFonts w:hint="eastAsia" w:asciiTheme="minorEastAsia" w:hAnsiTheme="minorEastAsia" w:eastAsiaTheme="minorEastAsia" w:cstheme="minorEastAsia"/>
          <w:color w:val="auto"/>
          <w:kern w:val="2"/>
          <w:sz w:val="24"/>
          <w:szCs w:val="24"/>
          <w:highlight w:val="none"/>
          <w:shd w:val="clear" w:color="auto" w:fill="FFFFFF"/>
        </w:rPr>
        <w:t>应保障采购人免于承担由此引起的索赔、诉讼或其他费用。</w:t>
      </w:r>
    </w:p>
    <w:p w14:paraId="730CD948">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jc w:val="both"/>
        <w:textAlignment w:val="auto"/>
        <w:outlineLvl w:val="1"/>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三、商务条件（</w:t>
      </w:r>
      <w:r>
        <w:rPr>
          <w:rFonts w:hint="eastAsia" w:asciiTheme="minorEastAsia" w:hAnsiTheme="minorEastAsia" w:eastAsiaTheme="minorEastAsia" w:cstheme="minorEastAsia"/>
          <w:b/>
          <w:color w:val="auto"/>
          <w:sz w:val="24"/>
          <w:szCs w:val="24"/>
          <w:highlight w:val="none"/>
          <w:lang w:eastAsia="zh-CN"/>
        </w:rPr>
        <w:t>本项所有内容均为不允许负偏离的实质性要求，若有负偏离按无效响应处理</w:t>
      </w:r>
      <w:r>
        <w:rPr>
          <w:rFonts w:hint="eastAsia" w:asciiTheme="minorEastAsia" w:hAnsiTheme="minorEastAsia" w:eastAsiaTheme="minorEastAsia" w:cstheme="minorEastAsia"/>
          <w:b/>
          <w:color w:val="auto"/>
          <w:sz w:val="24"/>
          <w:szCs w:val="24"/>
          <w:highlight w:val="none"/>
        </w:rPr>
        <w:t>）</w:t>
      </w:r>
    </w:p>
    <w:p w14:paraId="026474C6">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textAlignment w:val="auto"/>
        <w:outlineLvl w:val="2"/>
        <w:rPr>
          <w:rStyle w:val="22"/>
          <w:rFonts w:hint="eastAsia" w:asciiTheme="minorEastAsia" w:hAnsiTheme="minorEastAsia" w:eastAsiaTheme="minorEastAsia" w:cstheme="minorEastAsia"/>
          <w:color w:val="auto"/>
          <w:sz w:val="24"/>
          <w:szCs w:val="24"/>
          <w:highlight w:val="none"/>
        </w:rPr>
      </w:pPr>
      <w:r>
        <w:rPr>
          <w:rStyle w:val="22"/>
          <w:rFonts w:hint="eastAsia" w:asciiTheme="minorEastAsia" w:hAnsiTheme="minorEastAsia" w:eastAsiaTheme="minorEastAsia" w:cstheme="minorEastAsia"/>
          <w:color w:val="auto"/>
          <w:sz w:val="24"/>
          <w:szCs w:val="24"/>
          <w:highlight w:val="none"/>
        </w:rPr>
        <w:t>采购包1</w:t>
      </w:r>
    </w:p>
    <w:tbl>
      <w:tblPr>
        <w:tblStyle w:val="19"/>
        <w:tblW w:w="952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7"/>
        <w:gridCol w:w="1247"/>
        <w:gridCol w:w="1701"/>
        <w:gridCol w:w="5839"/>
      </w:tblGrid>
      <w:tr w14:paraId="2A239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7AE1BD51">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247" w:type="dxa"/>
          </w:tcPr>
          <w:p w14:paraId="1B5D678E">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参数性质</w:t>
            </w:r>
          </w:p>
        </w:tc>
        <w:tc>
          <w:tcPr>
            <w:tcW w:w="1701" w:type="dxa"/>
          </w:tcPr>
          <w:p w14:paraId="766A10EF">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类型</w:t>
            </w:r>
          </w:p>
        </w:tc>
        <w:tc>
          <w:tcPr>
            <w:tcW w:w="5839" w:type="dxa"/>
          </w:tcPr>
          <w:p w14:paraId="48A796BF">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w:t>
            </w:r>
          </w:p>
        </w:tc>
      </w:tr>
      <w:tr w14:paraId="2D619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77BE80AB">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247" w:type="dxa"/>
          </w:tcPr>
          <w:p w14:paraId="30C5EAD9">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6C271EE7">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时间</w:t>
            </w:r>
          </w:p>
        </w:tc>
        <w:tc>
          <w:tcPr>
            <w:tcW w:w="5839" w:type="dxa"/>
          </w:tcPr>
          <w:p w14:paraId="39FA2AD7">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合同签订后</w:t>
            </w:r>
            <w:r>
              <w:rPr>
                <w:rFonts w:hint="eastAsia" w:asciiTheme="minorEastAsia" w:hAnsiTheme="minorEastAsia" w:eastAsiaTheme="minorEastAsia" w:cstheme="minorEastAsia"/>
                <w:color w:val="auto"/>
                <w:sz w:val="24"/>
                <w:szCs w:val="24"/>
                <w:highlight w:val="none"/>
                <w:lang w:val="en-US" w:eastAsia="zh-CN"/>
              </w:rPr>
              <w:t>根据采购人通知进场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并</w:t>
            </w:r>
            <w:r>
              <w:rPr>
                <w:rFonts w:hint="eastAsia" w:asciiTheme="minorEastAsia" w:hAnsiTheme="minorEastAsia" w:eastAsiaTheme="minorEastAsia" w:cstheme="minorEastAsia"/>
                <w:color w:val="auto"/>
                <w:sz w:val="24"/>
                <w:szCs w:val="24"/>
                <w:highlight w:val="none"/>
              </w:rPr>
              <w:t>按照</w:t>
            </w:r>
            <w:r>
              <w:rPr>
                <w:rFonts w:hint="eastAsia" w:asciiTheme="minorEastAsia" w:hAnsiTheme="minorEastAsia" w:eastAsiaTheme="minorEastAsia" w:cstheme="minorEastAsia"/>
                <w:color w:val="auto"/>
                <w:sz w:val="24"/>
                <w:szCs w:val="24"/>
                <w:highlight w:val="none"/>
                <w:lang w:val="en-US" w:eastAsia="zh-CN"/>
              </w:rPr>
              <w:t>谈判文件《第三章 采购内容及要求》</w:t>
            </w:r>
            <w:r>
              <w:rPr>
                <w:rFonts w:hint="eastAsia" w:asciiTheme="minorEastAsia" w:hAnsiTheme="minorEastAsia" w:eastAsiaTheme="minorEastAsia" w:cstheme="minorEastAsia"/>
                <w:color w:val="auto"/>
                <w:sz w:val="24"/>
                <w:szCs w:val="24"/>
                <w:highlight w:val="none"/>
              </w:rPr>
              <w:t>中第二项“技术和服务要求”中规定</w:t>
            </w:r>
            <w:r>
              <w:rPr>
                <w:rFonts w:hint="eastAsia" w:asciiTheme="minorEastAsia" w:hAnsiTheme="minorEastAsia" w:eastAsiaTheme="minorEastAsia" w:cstheme="minorEastAsia"/>
                <w:color w:val="auto"/>
                <w:sz w:val="24"/>
                <w:szCs w:val="24"/>
                <w:highlight w:val="none"/>
                <w:lang w:val="en-US" w:eastAsia="zh-CN"/>
              </w:rPr>
              <w:t>的时间</w:t>
            </w:r>
            <w:r>
              <w:rPr>
                <w:rFonts w:hint="eastAsia" w:asciiTheme="minorEastAsia" w:hAnsiTheme="minorEastAsia" w:eastAsiaTheme="minorEastAsia" w:cstheme="minorEastAsia"/>
                <w:color w:val="auto"/>
                <w:sz w:val="24"/>
                <w:szCs w:val="24"/>
                <w:highlight w:val="none"/>
              </w:rPr>
              <w:t>出具相关报告。</w:t>
            </w:r>
          </w:p>
        </w:tc>
      </w:tr>
      <w:tr w14:paraId="59991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7DBDF57F">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247" w:type="dxa"/>
          </w:tcPr>
          <w:p w14:paraId="30FC89EC">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130F2EB1">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地点</w:t>
            </w:r>
          </w:p>
        </w:tc>
        <w:tc>
          <w:tcPr>
            <w:tcW w:w="5839" w:type="dxa"/>
          </w:tcPr>
          <w:p w14:paraId="37522FCD">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采购人指定地点</w:t>
            </w:r>
          </w:p>
        </w:tc>
      </w:tr>
      <w:tr w14:paraId="52CC3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457F0807">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247" w:type="dxa"/>
          </w:tcPr>
          <w:p w14:paraId="102BAAF5">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3A894C7F">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交付</w:t>
            </w:r>
            <w:r>
              <w:rPr>
                <w:rFonts w:hint="eastAsia" w:asciiTheme="minorEastAsia" w:hAnsiTheme="minorEastAsia" w:eastAsiaTheme="minorEastAsia" w:cstheme="minorEastAsia"/>
                <w:color w:val="auto"/>
                <w:sz w:val="24"/>
                <w:szCs w:val="24"/>
                <w:highlight w:val="none"/>
              </w:rPr>
              <w:t>条件</w:t>
            </w:r>
          </w:p>
        </w:tc>
        <w:tc>
          <w:tcPr>
            <w:tcW w:w="5839" w:type="dxa"/>
          </w:tcPr>
          <w:p w14:paraId="4CA616F8">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按照本项目</w:t>
            </w:r>
            <w:r>
              <w:rPr>
                <w:rFonts w:hint="eastAsia" w:asciiTheme="minorEastAsia" w:hAnsiTheme="minorEastAsia" w:eastAsiaTheme="minorEastAsia" w:cstheme="minorEastAsia"/>
                <w:color w:val="auto"/>
                <w:sz w:val="24"/>
                <w:szCs w:val="24"/>
                <w:highlight w:val="none"/>
                <w:lang w:eastAsia="zh-CN"/>
              </w:rPr>
              <w:t>竞争性谈判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成交供应商的响应</w:t>
            </w:r>
            <w:r>
              <w:rPr>
                <w:rFonts w:hint="eastAsia" w:asciiTheme="minorEastAsia" w:hAnsiTheme="minorEastAsia" w:eastAsiaTheme="minorEastAsia" w:cstheme="minorEastAsia"/>
                <w:color w:val="auto"/>
                <w:sz w:val="24"/>
                <w:szCs w:val="24"/>
                <w:highlight w:val="none"/>
              </w:rPr>
              <w:t>文件、采购合同条款等内容</w:t>
            </w:r>
          </w:p>
        </w:tc>
      </w:tr>
      <w:tr w14:paraId="368D7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431A4825">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247" w:type="dxa"/>
          </w:tcPr>
          <w:p w14:paraId="77D56CD8">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6DCD250E">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是否邀请</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验收</w:t>
            </w:r>
          </w:p>
        </w:tc>
        <w:tc>
          <w:tcPr>
            <w:tcW w:w="5839" w:type="dxa"/>
          </w:tcPr>
          <w:p w14:paraId="0F370FF3">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不邀请</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验收</w:t>
            </w:r>
          </w:p>
        </w:tc>
      </w:tr>
      <w:tr w14:paraId="46DB4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619403D6">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247" w:type="dxa"/>
          </w:tcPr>
          <w:p w14:paraId="59EDC1AD">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33838829">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履约验收方式</w:t>
            </w:r>
          </w:p>
        </w:tc>
        <w:tc>
          <w:tcPr>
            <w:tcW w:w="5839" w:type="dxa"/>
          </w:tcPr>
          <w:p w14:paraId="51B6F497">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提交成果</w:t>
            </w:r>
            <w:r>
              <w:rPr>
                <w:rFonts w:hint="eastAsia" w:asciiTheme="minorEastAsia" w:hAnsiTheme="minorEastAsia" w:eastAsiaTheme="minorEastAsia" w:cstheme="minorEastAsia"/>
                <w:color w:val="auto"/>
                <w:sz w:val="24"/>
                <w:szCs w:val="24"/>
                <w:highlight w:val="none"/>
              </w:rPr>
              <w:t>应符合国家有关标准、规范</w:t>
            </w:r>
            <w:r>
              <w:rPr>
                <w:rFonts w:hint="eastAsia" w:asciiTheme="minorEastAsia" w:hAnsiTheme="minorEastAsia" w:eastAsiaTheme="minorEastAsia" w:cstheme="minorEastAsia"/>
                <w:color w:val="auto"/>
                <w:sz w:val="24"/>
                <w:szCs w:val="24"/>
                <w:highlight w:val="none"/>
                <w:lang w:val="en-US" w:eastAsia="zh-CN"/>
              </w:rPr>
              <w:t>以及</w:t>
            </w:r>
            <w:r>
              <w:rPr>
                <w:rFonts w:hint="eastAsia" w:asciiTheme="minorEastAsia" w:hAnsiTheme="minorEastAsia" w:eastAsiaTheme="minorEastAsia" w:cstheme="minorEastAsia"/>
                <w:color w:val="auto"/>
                <w:sz w:val="24"/>
                <w:szCs w:val="24"/>
                <w:highlight w:val="none"/>
              </w:rPr>
              <w:t>合同约定的要求，确保结果真实、准确、合理、合法、合规，</w:t>
            </w:r>
            <w:r>
              <w:rPr>
                <w:rFonts w:hint="eastAsia" w:asciiTheme="minorEastAsia" w:hAnsiTheme="minorEastAsia" w:eastAsiaTheme="minorEastAsia" w:cstheme="minorEastAsia"/>
                <w:color w:val="auto"/>
                <w:sz w:val="24"/>
                <w:szCs w:val="24"/>
                <w:highlight w:val="none"/>
                <w:lang w:val="en-US" w:eastAsia="zh-CN"/>
              </w:rPr>
              <w:t>测试测评报告应通过相关部门备案</w:t>
            </w:r>
            <w:r>
              <w:rPr>
                <w:rFonts w:hint="eastAsia" w:asciiTheme="minorEastAsia" w:hAnsiTheme="minorEastAsia" w:eastAsiaTheme="minorEastAsia" w:cstheme="minorEastAsia"/>
                <w:color w:val="auto"/>
                <w:sz w:val="24"/>
                <w:szCs w:val="24"/>
                <w:highlight w:val="none"/>
              </w:rPr>
              <w:t>。</w:t>
            </w:r>
          </w:p>
        </w:tc>
      </w:tr>
      <w:tr w14:paraId="76ADB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64B4ED32">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247" w:type="dxa"/>
          </w:tcPr>
          <w:p w14:paraId="66309176">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1CA9BA43">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合同支付方式</w:t>
            </w:r>
          </w:p>
        </w:tc>
        <w:tc>
          <w:tcPr>
            <w:tcW w:w="5839" w:type="dxa"/>
          </w:tcPr>
          <w:p w14:paraId="36095DCB">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成交供应商完成采购人要求的单项测试测评工作并出具对应成果报告，</w:t>
            </w:r>
            <w:r>
              <w:rPr>
                <w:rFonts w:hint="eastAsia" w:asciiTheme="minorEastAsia" w:hAnsiTheme="minorEastAsia" w:cstheme="minorEastAsia"/>
                <w:i w:val="0"/>
                <w:iCs w:val="0"/>
                <w:caps w:val="0"/>
                <w:color w:val="auto"/>
                <w:spacing w:val="0"/>
                <w:sz w:val="24"/>
                <w:szCs w:val="24"/>
                <w:highlight w:val="none"/>
                <w:shd w:val="clear" w:fill="FFFFFF"/>
                <w:lang w:val="en-US" w:eastAsia="zh-CN"/>
              </w:rPr>
              <w:t>提供备案证明（如有），</w:t>
            </w:r>
            <w:r>
              <w:rPr>
                <w:rFonts w:hint="eastAsia" w:asciiTheme="minorEastAsia" w:hAnsiTheme="minorEastAsia" w:eastAsiaTheme="minorEastAsia" w:cstheme="minorEastAsia"/>
                <w:i w:val="0"/>
                <w:iCs w:val="0"/>
                <w:caps w:val="0"/>
                <w:color w:val="auto"/>
                <w:spacing w:val="0"/>
                <w:sz w:val="24"/>
                <w:szCs w:val="24"/>
                <w:highlight w:val="none"/>
                <w:shd w:val="clear" w:fill="FFFFFF"/>
              </w:rPr>
              <w:t>该单项成果经采购人验收合格后，依据</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供应商响应时</w:t>
            </w:r>
            <w:r>
              <w:rPr>
                <w:rFonts w:hint="eastAsia" w:asciiTheme="minorEastAsia" w:hAnsiTheme="minorEastAsia" w:eastAsiaTheme="minorEastAsia" w:cstheme="minorEastAsia"/>
                <w:i w:val="0"/>
                <w:iCs w:val="0"/>
                <w:caps w:val="0"/>
                <w:color w:val="auto"/>
                <w:spacing w:val="0"/>
                <w:sz w:val="24"/>
                <w:szCs w:val="24"/>
                <w:highlight w:val="none"/>
                <w:shd w:val="clear" w:fill="FFFFFF"/>
              </w:rPr>
              <w:t>对应的最终分项报价金额</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进行</w:t>
            </w:r>
            <w:r>
              <w:rPr>
                <w:rFonts w:hint="eastAsia" w:asciiTheme="minorEastAsia" w:hAnsiTheme="minorEastAsia" w:eastAsiaTheme="minorEastAsia" w:cstheme="minorEastAsia"/>
                <w:i w:val="0"/>
                <w:iCs w:val="0"/>
                <w:caps w:val="0"/>
                <w:color w:val="auto"/>
                <w:spacing w:val="0"/>
                <w:sz w:val="24"/>
                <w:szCs w:val="24"/>
                <w:highlight w:val="none"/>
                <w:shd w:val="clear" w:fill="FFFFFF"/>
              </w:rPr>
              <w:t>结算。采购人在收到成交供应商开具的该单项等额发票后</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10</w:t>
            </w:r>
            <w:r>
              <w:rPr>
                <w:rFonts w:hint="eastAsia" w:asciiTheme="minorEastAsia" w:hAnsiTheme="minorEastAsia" w:eastAsiaTheme="minorEastAsia" w:cstheme="minorEastAsia"/>
                <w:i w:val="0"/>
                <w:iCs w:val="0"/>
                <w:caps w:val="0"/>
                <w:color w:val="auto"/>
                <w:spacing w:val="0"/>
                <w:sz w:val="24"/>
                <w:szCs w:val="24"/>
                <w:highlight w:val="none"/>
                <w:shd w:val="clear" w:fill="FFFFFF"/>
              </w:rPr>
              <w:t>个工作日内，支付该单项服务对应的 100% 合同价款。</w:t>
            </w:r>
          </w:p>
        </w:tc>
      </w:tr>
      <w:tr w14:paraId="30B7E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7" w:type="dxa"/>
          </w:tcPr>
          <w:p w14:paraId="0E9672ED">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247" w:type="dxa"/>
          </w:tcPr>
          <w:p w14:paraId="76179115">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p>
        </w:tc>
        <w:tc>
          <w:tcPr>
            <w:tcW w:w="1701" w:type="dxa"/>
          </w:tcPr>
          <w:p w14:paraId="4B4421CC">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履约保证金</w:t>
            </w:r>
          </w:p>
        </w:tc>
        <w:tc>
          <w:tcPr>
            <w:tcW w:w="5839" w:type="dxa"/>
          </w:tcPr>
          <w:p w14:paraId="5291E3B0">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缴纳</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本采购包履约保证金为合同金额的</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p>
          <w:p w14:paraId="626D6DA8">
            <w:pPr>
              <w:pStyle w:val="31"/>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说明：</w:t>
            </w:r>
            <w:r>
              <w:rPr>
                <w:rFonts w:hint="eastAsia" w:asciiTheme="minorEastAsia" w:hAnsiTheme="minorEastAsia" w:eastAsiaTheme="minorEastAsia" w:cstheme="minorEastAsia"/>
                <w:color w:val="auto"/>
                <w:sz w:val="24"/>
                <w:szCs w:val="24"/>
                <w:highlight w:val="none"/>
              </w:rPr>
              <w:t>成交</w:t>
            </w:r>
            <w:r>
              <w:rPr>
                <w:rFonts w:hint="eastAsia" w:asciiTheme="minorEastAsia" w:hAnsiTheme="minorEastAsia" w:eastAsiaTheme="minorEastAsia" w:cstheme="minorEastAsia"/>
                <w:color w:val="auto"/>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在签订采购合同前应以银行转账</w:t>
            </w:r>
            <w:r>
              <w:rPr>
                <w:rFonts w:hint="eastAsia" w:asciiTheme="minorEastAsia" w:hAnsiTheme="minorEastAsia" w:eastAsiaTheme="minorEastAsia" w:cstheme="minorEastAsia"/>
                <w:color w:val="auto"/>
                <w:sz w:val="24"/>
                <w:szCs w:val="24"/>
                <w:highlight w:val="none"/>
                <w:lang w:eastAsia="zh-CN"/>
              </w:rPr>
              <w:t>的方式</w:t>
            </w:r>
            <w:r>
              <w:rPr>
                <w:rFonts w:hint="eastAsia" w:asciiTheme="minorEastAsia" w:hAnsiTheme="minorEastAsia" w:eastAsiaTheme="minorEastAsia" w:cstheme="minorEastAsia"/>
                <w:color w:val="auto"/>
                <w:sz w:val="24"/>
                <w:szCs w:val="24"/>
                <w:highlight w:val="none"/>
              </w:rPr>
              <w:t>缴纳合同总金额的</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%作为履约保证金</w:t>
            </w:r>
            <w:r>
              <w:rPr>
                <w:rFonts w:hint="eastAsia" w:asciiTheme="minorEastAsia" w:hAnsiTheme="minorEastAsia" w:eastAsiaTheme="minorEastAsia" w:cstheme="minorEastAsia"/>
                <w:color w:val="auto"/>
                <w:sz w:val="24"/>
                <w:szCs w:val="24"/>
                <w:highlight w:val="none"/>
                <w:lang w:eastAsia="zh-CN"/>
              </w:rPr>
              <w:t>，履约保证金在合同约定全部事项履行完毕，经采购人确认双方无未了事项后，采购人在收到</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lang w:eastAsia="zh-CN"/>
              </w:rPr>
              <w:t>书面申请后30日内无息退还。</w:t>
            </w:r>
          </w:p>
        </w:tc>
      </w:tr>
    </w:tbl>
    <w:p w14:paraId="3343B60A">
      <w:pPr>
        <w:pStyle w:val="17"/>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其他商务要求：</w:t>
      </w:r>
    </w:p>
    <w:p w14:paraId="3B361853">
      <w:pPr>
        <w:pStyle w:val="31"/>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、违约责任</w:t>
      </w:r>
    </w:p>
    <w:p w14:paraId="0050516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（1）因</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原因造成合同无法按时签订的，视为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违约，</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违约对采购人造成损失（包括直接损失和间接损失，间接损失包括逾期利益损失）的，应赔偿给采购人造成的损失，且采购人</w:t>
      </w:r>
      <w:r>
        <w:rPr>
          <w:rFonts w:hint="eastAsia" w:asciiTheme="minorEastAsia" w:hAnsiTheme="minorEastAsia" w:eastAsiaTheme="minorEastAsia" w:cstheme="minorEastAsia"/>
          <w:color w:val="auto"/>
          <w:sz w:val="24"/>
          <w:szCs w:val="24"/>
          <w:highlight w:val="none"/>
          <w:lang w:val="en-US" w:eastAsia="zh-CN"/>
        </w:rPr>
        <w:t>有权不予退还</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保证金。</w:t>
      </w:r>
    </w:p>
    <w:p w14:paraId="3E1DC54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不按合同约定履约的，采购人可以</w:t>
      </w:r>
      <w:r>
        <w:rPr>
          <w:rFonts w:hint="eastAsia" w:asciiTheme="minorEastAsia" w:hAnsiTheme="minorEastAsia" w:cstheme="minorEastAsia"/>
          <w:color w:val="auto"/>
          <w:sz w:val="24"/>
          <w:szCs w:val="24"/>
          <w:highlight w:val="none"/>
          <w:lang w:val="en-US" w:eastAsia="zh-CN"/>
        </w:rPr>
        <w:t>单方面</w:t>
      </w:r>
      <w:r>
        <w:rPr>
          <w:rFonts w:hint="eastAsia" w:asciiTheme="minorEastAsia" w:hAnsiTheme="minorEastAsia" w:eastAsiaTheme="minorEastAsia" w:cstheme="minorEastAsia"/>
          <w:color w:val="auto"/>
          <w:sz w:val="24"/>
          <w:szCs w:val="24"/>
          <w:highlight w:val="none"/>
        </w:rPr>
        <w:t>解除采购合同</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没收全部履约保证金</w:t>
      </w:r>
      <w:r>
        <w:rPr>
          <w:rFonts w:hint="eastAsia" w:asciiTheme="minorEastAsia" w:hAnsiTheme="minorEastAsia" w:eastAsiaTheme="minorEastAsia" w:cstheme="minorEastAsia"/>
          <w:color w:val="auto"/>
          <w:sz w:val="24"/>
          <w:szCs w:val="24"/>
          <w:highlight w:val="none"/>
        </w:rPr>
        <w:t>。同时，</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须按以下约定向采购人支付违约金：</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应按合同总金额20%支付违约金，且承担采购人为解决纠纷、实现债权及所有诉讼活动而支付的法院诉讼费、诉讼保全费、鉴定费、评估费、公证费用、律师费用、旅差费等费用</w:t>
      </w:r>
      <w:r>
        <w:rPr>
          <w:rFonts w:hint="eastAsia" w:asciiTheme="minorEastAsia" w:hAnsiTheme="minorEastAsia" w:cstheme="minorEastAsia"/>
          <w:color w:val="auto"/>
          <w:sz w:val="24"/>
          <w:szCs w:val="24"/>
          <w:highlight w:val="none"/>
          <w:lang w:eastAsia="zh-CN"/>
        </w:rPr>
        <w:t>。</w:t>
      </w:r>
    </w:p>
    <w:p w14:paraId="439565E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逾期履行服务的，</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应按</w:t>
      </w:r>
      <w:r>
        <w:rPr>
          <w:rFonts w:hint="eastAsia" w:asciiTheme="minorEastAsia" w:hAnsiTheme="minorEastAsia" w:eastAsiaTheme="minorEastAsia" w:cstheme="minorEastAsia"/>
          <w:color w:val="auto"/>
          <w:sz w:val="24"/>
          <w:szCs w:val="24"/>
          <w:highlight w:val="none"/>
          <w:lang w:val="en-US" w:eastAsia="zh-CN"/>
        </w:rPr>
        <w:t>合同</w:t>
      </w:r>
      <w:r>
        <w:rPr>
          <w:rFonts w:hint="eastAsia" w:asciiTheme="minorEastAsia" w:hAnsiTheme="minorEastAsia" w:eastAsiaTheme="minorEastAsia" w:cstheme="minorEastAsia"/>
          <w:color w:val="auto"/>
          <w:sz w:val="24"/>
          <w:szCs w:val="24"/>
          <w:highlight w:val="none"/>
        </w:rPr>
        <w:t>总额每日0.5‰向采购人支付违约金，由采购人从待付</w:t>
      </w:r>
      <w:r>
        <w:rPr>
          <w:rFonts w:hint="eastAsia" w:asciiTheme="minorEastAsia" w:hAnsiTheme="minorEastAsia" w:eastAsiaTheme="minorEastAsia" w:cstheme="minorEastAsia"/>
          <w:color w:val="auto"/>
          <w:sz w:val="24"/>
          <w:szCs w:val="24"/>
          <w:highlight w:val="none"/>
          <w:lang w:val="en-US" w:eastAsia="zh-CN"/>
        </w:rPr>
        <w:t>款项</w:t>
      </w:r>
      <w:r>
        <w:rPr>
          <w:rFonts w:hint="eastAsia" w:asciiTheme="minorEastAsia" w:hAnsiTheme="minorEastAsia" w:eastAsiaTheme="minorEastAsia" w:cstheme="minorEastAsia"/>
          <w:color w:val="auto"/>
          <w:sz w:val="24"/>
          <w:szCs w:val="24"/>
          <w:highlight w:val="none"/>
        </w:rPr>
        <w:t>中扣除。</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无正当理由逾期超过约定日期30个日历日内仍不能交付的，视为“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不按合同约定履约”</w:t>
      </w:r>
      <w:r>
        <w:rPr>
          <w:rFonts w:hint="eastAsia" w:asciiTheme="minorEastAsia" w:hAnsiTheme="minorEastAsia" w:cstheme="minorEastAsia"/>
          <w:color w:val="auto"/>
          <w:sz w:val="24"/>
          <w:szCs w:val="24"/>
          <w:highlight w:val="none"/>
          <w:lang w:eastAsia="zh-CN"/>
        </w:rPr>
        <w:t>。</w:t>
      </w:r>
    </w:p>
    <w:p w14:paraId="696B2EC8">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所履行的服务不符合合同规定及</w:t>
      </w:r>
      <w:r>
        <w:rPr>
          <w:rFonts w:hint="eastAsia" w:asciiTheme="minorEastAsia" w:hAnsiTheme="minorEastAsia" w:eastAsiaTheme="minorEastAsia" w:cstheme="minorEastAsia"/>
          <w:color w:val="auto"/>
          <w:sz w:val="24"/>
          <w:szCs w:val="24"/>
          <w:highlight w:val="none"/>
          <w:lang w:val="en-US" w:eastAsia="zh-CN"/>
        </w:rPr>
        <w:t>谈判文件</w:t>
      </w:r>
      <w:r>
        <w:rPr>
          <w:rFonts w:hint="eastAsia" w:asciiTheme="minorEastAsia" w:hAnsiTheme="minorEastAsia" w:eastAsiaTheme="minorEastAsia" w:cstheme="minorEastAsia"/>
          <w:color w:val="auto"/>
          <w:sz w:val="24"/>
          <w:szCs w:val="24"/>
          <w:highlight w:val="none"/>
        </w:rPr>
        <w:t>规定标准的，采购人有权拒绝，</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愿意整改但逾期履行的，按</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逾期履行处理。</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拒绝整改的，视为“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不按合同约定履约”</w:t>
      </w:r>
      <w:r>
        <w:rPr>
          <w:rFonts w:hint="eastAsia" w:asciiTheme="minorEastAsia" w:hAnsiTheme="minorEastAsia" w:cstheme="minorEastAsia"/>
          <w:color w:val="auto"/>
          <w:sz w:val="24"/>
          <w:szCs w:val="24"/>
          <w:highlight w:val="none"/>
          <w:lang w:eastAsia="zh-CN"/>
        </w:rPr>
        <w:t>。</w:t>
      </w:r>
    </w:p>
    <w:p w14:paraId="5B0B7F4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5</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成交供应商应完成谈判文件约定的所有测试测评服务内容，</w:t>
      </w:r>
      <w:r>
        <w:rPr>
          <w:rFonts w:hint="eastAsia" w:asciiTheme="minorEastAsia" w:hAnsiTheme="minorEastAsia" w:cstheme="minorEastAsia"/>
          <w:color w:val="auto"/>
          <w:sz w:val="24"/>
          <w:szCs w:val="24"/>
          <w:highlight w:val="none"/>
          <w:lang w:eastAsia="zh-CN"/>
        </w:rPr>
        <w:t>非经采购人书面同意，</w:t>
      </w:r>
      <w:r>
        <w:rPr>
          <w:rFonts w:hint="eastAsia" w:asciiTheme="minorEastAsia" w:hAnsiTheme="minorEastAsia" w:cstheme="minorEastAsia"/>
          <w:color w:val="auto"/>
          <w:sz w:val="24"/>
          <w:szCs w:val="24"/>
          <w:highlight w:val="none"/>
          <w:lang w:val="en-US" w:eastAsia="zh-CN"/>
        </w:rPr>
        <w:t>或产生</w:t>
      </w:r>
      <w:r>
        <w:rPr>
          <w:rFonts w:hint="eastAsia" w:asciiTheme="minorEastAsia" w:hAnsiTheme="minorEastAsia" w:cstheme="minorEastAsia"/>
          <w:color w:val="auto"/>
          <w:sz w:val="24"/>
          <w:szCs w:val="24"/>
          <w:highlight w:val="none"/>
          <w:lang w:eastAsia="zh-CN"/>
        </w:rPr>
        <w:t>不可抗力情形的，</w:t>
      </w:r>
      <w:r>
        <w:rPr>
          <w:rFonts w:hint="eastAsia" w:asciiTheme="minorEastAsia" w:hAnsiTheme="minorEastAsia" w:cstheme="minorEastAsia"/>
          <w:color w:val="auto"/>
          <w:sz w:val="24"/>
          <w:szCs w:val="24"/>
          <w:highlight w:val="none"/>
          <w:lang w:val="en-US" w:eastAsia="zh-CN"/>
        </w:rPr>
        <w:t>成交</w:t>
      </w:r>
      <w:r>
        <w:rPr>
          <w:rFonts w:hint="eastAsia" w:asciiTheme="minorEastAsia" w:hAnsiTheme="minorEastAsia" w:cstheme="minorEastAsia"/>
          <w:color w:val="auto"/>
          <w:sz w:val="24"/>
          <w:szCs w:val="24"/>
          <w:highlight w:val="none"/>
          <w:lang w:eastAsia="zh-CN"/>
        </w:rPr>
        <w:t>供应商单方面拒绝或放弃</w:t>
      </w:r>
      <w:r>
        <w:rPr>
          <w:rFonts w:hint="eastAsia" w:asciiTheme="minorEastAsia" w:hAnsiTheme="minorEastAsia" w:cstheme="minorEastAsia"/>
          <w:color w:val="auto"/>
          <w:sz w:val="24"/>
          <w:szCs w:val="24"/>
          <w:highlight w:val="none"/>
          <w:lang w:val="en-US" w:eastAsia="zh-CN"/>
        </w:rPr>
        <w:t>履行</w:t>
      </w:r>
      <w:r>
        <w:rPr>
          <w:rFonts w:hint="eastAsia" w:asciiTheme="minorEastAsia" w:hAnsiTheme="minorEastAsia" w:cstheme="minorEastAsia"/>
          <w:color w:val="auto"/>
          <w:sz w:val="24"/>
          <w:szCs w:val="24"/>
          <w:highlight w:val="none"/>
          <w:lang w:eastAsia="zh-CN"/>
        </w:rPr>
        <w:t>其中一项或多项测试测评</w:t>
      </w:r>
      <w:r>
        <w:rPr>
          <w:rFonts w:hint="eastAsia" w:asciiTheme="minorEastAsia" w:hAnsiTheme="minorEastAsia" w:cstheme="minorEastAsia"/>
          <w:color w:val="auto"/>
          <w:sz w:val="24"/>
          <w:szCs w:val="24"/>
          <w:highlight w:val="none"/>
          <w:lang w:val="en-US" w:eastAsia="zh-CN"/>
        </w:rPr>
        <w:t>工作内容</w:t>
      </w:r>
      <w:r>
        <w:rPr>
          <w:rFonts w:hint="eastAsia" w:asciiTheme="minorEastAsia" w:hAnsi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视为“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不按合同约定履约”</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且</w:t>
      </w:r>
      <w:r>
        <w:rPr>
          <w:rFonts w:hint="eastAsia" w:asciiTheme="minorEastAsia" w:hAnsiTheme="minorEastAsia" w:cstheme="minorEastAsia"/>
          <w:color w:val="auto"/>
          <w:sz w:val="24"/>
          <w:szCs w:val="24"/>
          <w:highlight w:val="none"/>
          <w:lang w:eastAsia="zh-CN"/>
        </w:rPr>
        <w:t>构成重大违约，采购人</w:t>
      </w:r>
      <w:r>
        <w:rPr>
          <w:rFonts w:hint="eastAsia" w:asciiTheme="minorEastAsia" w:hAnsiTheme="minorEastAsia" w:cstheme="minorEastAsia"/>
          <w:color w:val="auto"/>
          <w:sz w:val="24"/>
          <w:szCs w:val="24"/>
          <w:highlight w:val="none"/>
          <w:lang w:val="en-US" w:eastAsia="zh-CN"/>
        </w:rPr>
        <w:t>将</w:t>
      </w:r>
      <w:r>
        <w:rPr>
          <w:rFonts w:hint="eastAsia" w:asciiTheme="minorEastAsia" w:hAnsiTheme="minorEastAsia" w:cstheme="minorEastAsia"/>
          <w:color w:val="auto"/>
          <w:sz w:val="24"/>
          <w:szCs w:val="24"/>
          <w:highlight w:val="none"/>
          <w:lang w:eastAsia="zh-CN"/>
        </w:rPr>
        <w:t>严肃追究其违约责任，有权要求</w:t>
      </w:r>
      <w:r>
        <w:rPr>
          <w:rFonts w:hint="eastAsia" w:asciiTheme="minorEastAsia" w:hAnsiTheme="minorEastAsia" w:cstheme="minorEastAsia"/>
          <w:color w:val="auto"/>
          <w:sz w:val="24"/>
          <w:szCs w:val="24"/>
          <w:highlight w:val="none"/>
          <w:lang w:val="en-US" w:eastAsia="zh-CN"/>
        </w:rPr>
        <w:t>成交</w:t>
      </w:r>
      <w:r>
        <w:rPr>
          <w:rFonts w:hint="eastAsia" w:asciiTheme="minorEastAsia" w:hAnsiTheme="minorEastAsia" w:cstheme="minorEastAsia"/>
          <w:color w:val="auto"/>
          <w:sz w:val="24"/>
          <w:szCs w:val="24"/>
          <w:highlight w:val="none"/>
          <w:lang w:eastAsia="zh-CN"/>
        </w:rPr>
        <w:t>供应商赔偿采购人因此产生的全部直接及间接损失，</w:t>
      </w:r>
      <w:r>
        <w:rPr>
          <w:rFonts w:hint="eastAsia" w:asciiTheme="minorEastAsia" w:hAnsiTheme="minorEastAsia" w:cstheme="minorEastAsia"/>
          <w:color w:val="auto"/>
          <w:sz w:val="24"/>
          <w:szCs w:val="24"/>
          <w:highlight w:val="none"/>
          <w:lang w:val="en-US" w:eastAsia="zh-CN"/>
        </w:rPr>
        <w:t>并</w:t>
      </w:r>
      <w:r>
        <w:rPr>
          <w:rFonts w:hint="eastAsia" w:asciiTheme="minorEastAsia" w:hAnsiTheme="minorEastAsia" w:cstheme="minorEastAsia"/>
          <w:color w:val="auto"/>
          <w:sz w:val="24"/>
          <w:szCs w:val="24"/>
          <w:highlight w:val="none"/>
          <w:lang w:eastAsia="zh-CN"/>
        </w:rPr>
        <w:t>将该违约情况报送政府采购监督管理部门。</w:t>
      </w:r>
    </w:p>
    <w:p w14:paraId="09D07886">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因成交供应商原因导致本项目被上级通报的，通报类型为提醒类通报的，如限期整改通知书、风险告知等，每一次扣违约金5000元；通报类型为批评通报的，如安全事故追责、通报批评、行政处罚等，每一次扣违约金10000元。</w:t>
      </w:r>
    </w:p>
    <w:p w14:paraId="0164175E">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）因成交供应商原因发生较大质量事故，除依约承担赔偿责任外，还将按有关质量管理办法规定执行。同时，采购人有权单方面解除合同，不予退还履约保证金</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w:t>
      </w:r>
    </w:p>
    <w:p w14:paraId="12FBDB43">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在测试测评过程中，成交供应商全权负责测评人员的人身安全，若因成交供应商原因发生安全事故（含伤亡安全事故），由成交供应商承担全部责任。除按国家相关管理规定及采购人有关安全管理办法执行外，报相关行政主管部门处罚。同时采购人有权单方面解除合同，不予退还履约保证金，给采购人及第三方造成损失的，还应承担赔偿责任。</w:t>
      </w:r>
    </w:p>
    <w:p w14:paraId="4BCD5D71">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成交供应商应确保采购人的所有资料、技术文档妥善保管，不得遗失、转借、复印，不得以任何形式向第三方透露；所有解决方案和采集汇总后的数据严禁通过互联网等公共信息网络、普通邮政进行传递，严禁在连接互联网计算机上存储、处理；违反上述规定要求的，每发现一次，成交供应商应向采购人支付10000元违约金。如因成交供应商的原因造成数据丢失，泄密等，采购人有权单方面解除合同，不予退还履约保证金，成交供应商还应承担相应的法律责任，并赔偿采购人的损失。</w:t>
      </w:r>
    </w:p>
    <w:p w14:paraId="6E0289C1">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成交供应商拟派的测试测评团队人员有违反医院规章制度的行为或服务质量无法达到合同约定要求，采购人有权要求成交供应商无条件更换，成交供应商应在5个日历日内提交拟更换人员的基本情况信息，并在采购人同意后5个日历日内更换到位，同时成交供应商应向采购人支付违约金10000元/人次。若团队人员出现重大疾病、伤亡或其它不可抗力因素不能继续履约的，经采购人同意后才能予以更换。所有更换人员应具备谈判文件中规定的该岗位人员应具备的相应证书，资质能力不能低于原岗位人员。若服务期内更换人员次数累计超过3次，采购人有权单方面解除合同，并不予退还履约保证金。</w:t>
      </w:r>
    </w:p>
    <w:p w14:paraId="6814BF51">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）除不可抗力外，成交供应商投标时提供的项目测试测评团队成员，未经采购人同意不得随意更换。若因成交供应商原因需更换人员的，应由成交供应商提出申请，并提交资料报采购人同意，拟更换人员</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资质能力不能低于原岗位人员</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同时应向采购人支付违约金：项目经理50000元/人次，技术负责人30000元/人次，执行人员10000元/人次，在新人员到岗前，原岗位人员应正常履职工作。若服务期内累计申请超过3次，采购人有权单方面解除合同，并不予退还履约保证金。</w:t>
      </w:r>
    </w:p>
    <w:p w14:paraId="0554B1BD">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）除竞争性谈判文件中已明确的具体违约责任外，成交供应商提供的服务不符合竞争性谈判文件或合同约定，且未能按照采购人要求及时完成整改的，成交供应商应向采购人支付违约金1000元。</w:t>
      </w:r>
    </w:p>
    <w:p w14:paraId="352C0D44">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（1</w:t>
      </w:r>
      <w:r>
        <w:rPr>
          <w:rFonts w:hint="eastAsia" w:asciiTheme="minorEastAsia" w:hAnsiTheme="minorEastAsia" w:cstheme="minorEastAsia"/>
          <w:color w:val="000000" w:themeColor="text1"/>
          <w:sz w:val="24"/>
          <w:szCs w:val="24"/>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成交供应商违约除应向采购人支付违约金外，对采购人造成损失的，还须承担相应的赔偿责任。本项目成交供应商应向采购人支付的违约金、赔偿金等，采购人有权直接从应付未付的测试测评费用或履约保证金中扣除。</w:t>
      </w:r>
    </w:p>
    <w:p w14:paraId="52F82573">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）其他违约情形：</w:t>
      </w:r>
    </w:p>
    <w:p w14:paraId="2E07CCFE">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中途</w:t>
      </w:r>
      <w:r>
        <w:rPr>
          <w:rFonts w:hint="eastAsia" w:asciiTheme="minorEastAsia" w:hAnsiTheme="minorEastAsia" w:cstheme="minorEastAsia"/>
          <w:color w:val="auto"/>
          <w:sz w:val="24"/>
          <w:szCs w:val="24"/>
          <w:highlight w:val="none"/>
          <w:lang w:val="en-US" w:eastAsia="zh-CN"/>
        </w:rPr>
        <w:t>单方面</w:t>
      </w:r>
      <w:r>
        <w:rPr>
          <w:rFonts w:hint="eastAsia" w:asciiTheme="minorEastAsia" w:hAnsiTheme="minorEastAsia" w:eastAsiaTheme="minorEastAsia" w:cstheme="minorEastAsia"/>
          <w:color w:val="auto"/>
          <w:sz w:val="24"/>
          <w:szCs w:val="24"/>
          <w:highlight w:val="none"/>
        </w:rPr>
        <w:t>无故解约，视为“</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不按合同约定履约”。</w:t>
      </w:r>
    </w:p>
    <w:p w14:paraId="4477DA92">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文件未明确的其它约定事项或条款，待采购人与</w:t>
      </w:r>
      <w:r>
        <w:rPr>
          <w:rFonts w:hint="eastAsia" w:asciiTheme="minorEastAsia" w:hAnsiTheme="minorEastAsia" w:eastAsiaTheme="minorEastAsia" w:cstheme="minorEastAsia"/>
          <w:color w:val="auto"/>
          <w:sz w:val="24"/>
          <w:szCs w:val="24"/>
          <w:highlight w:val="none"/>
          <w:lang w:eastAsia="zh-CN"/>
        </w:rPr>
        <w:t>成交供应商</w:t>
      </w:r>
      <w:r>
        <w:rPr>
          <w:rFonts w:hint="eastAsia" w:asciiTheme="minorEastAsia" w:hAnsiTheme="minorEastAsia" w:eastAsiaTheme="minorEastAsia" w:cstheme="minorEastAsia"/>
          <w:color w:val="auto"/>
          <w:sz w:val="24"/>
          <w:szCs w:val="24"/>
          <w:highlight w:val="none"/>
        </w:rPr>
        <w:t>签订合同时，由双方协商订立。</w:t>
      </w:r>
    </w:p>
    <w:p w14:paraId="53388720">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9</w:t>
      </w:r>
      <w:r>
        <w:rPr>
          <w:rFonts w:hint="eastAsia" w:asciiTheme="minorEastAsia" w:hAnsiTheme="minorEastAsia" w:eastAsiaTheme="minorEastAsia" w:cstheme="minorEastAsia"/>
          <w:b/>
          <w:bCs/>
          <w:color w:val="auto"/>
          <w:sz w:val="24"/>
          <w:szCs w:val="24"/>
          <w:highlight w:val="none"/>
        </w:rPr>
        <w:t>、不可抗力</w:t>
      </w:r>
    </w:p>
    <w:p w14:paraId="3173168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因不可抗力造成无法依约履行合同义务的，遭受不可抗力一方应及时向对方通报不能履行或不能完全履行的理由，并在15日内向另一方提供不可抗力发生及持续期间的充分证据。基于以上行为，允许遭受不可抗力一方延期履行、部分履行或不履行合同，并根据情况可部分或全部免于承担违约责任。</w:t>
      </w:r>
    </w:p>
    <w:p w14:paraId="727D57A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（2）本合同中的不可抗力指不能预见、不能避免、不能克服的客观情况，包括但不限于：自然灾害如地震、台风、洪水、火灾及政府行为、法律规定或其适用的变化或其他任何无法预见、避免或控制的事件。</w:t>
      </w:r>
    </w:p>
    <w:p w14:paraId="342B71A5">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10</w:t>
      </w:r>
      <w:r>
        <w:rPr>
          <w:rFonts w:hint="eastAsia" w:asciiTheme="minorEastAsia" w:hAnsiTheme="minorEastAsia" w:eastAsiaTheme="minorEastAsia" w:cstheme="minorEastAsia"/>
          <w:b/>
          <w:bCs/>
          <w:color w:val="auto"/>
          <w:sz w:val="24"/>
          <w:szCs w:val="24"/>
          <w:highlight w:val="none"/>
        </w:rPr>
        <w:t>、知识产权</w:t>
      </w:r>
    </w:p>
    <w:p w14:paraId="554F8FDB">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成交供应商提供的服务中有涉及知识产权的部分应符合国家知识产权法律、法规的规定；成交供应商还应保证采购人不受到第三方关于侵犯知识产权及专利权、商标权或工业设计权等知识产权方面的指控，若任何第三方提出此方面指控均与采购人无关，成交供应商应与第三方交涉，并承担可能发生的一切法律责任、费用和后果；若采购人因此而遭致损失，则成交供应商应赔偿该损失。</w:t>
      </w:r>
    </w:p>
    <w:p w14:paraId="7B2CAF2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11</w:t>
      </w:r>
      <w:r>
        <w:rPr>
          <w:rFonts w:hint="eastAsia" w:asciiTheme="minorEastAsia" w:hAnsiTheme="minorEastAsia" w:eastAsiaTheme="minorEastAsia" w:cstheme="minorEastAsia"/>
          <w:b/>
          <w:bCs/>
          <w:color w:val="auto"/>
          <w:sz w:val="24"/>
          <w:szCs w:val="24"/>
          <w:highlight w:val="none"/>
        </w:rPr>
        <w:t>、解决争议的方法</w:t>
      </w:r>
    </w:p>
    <w:p w14:paraId="6B1CFB2A">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val="zh-TW" w:eastAsia="zh-CN"/>
        </w:rPr>
      </w:pPr>
      <w:r>
        <w:rPr>
          <w:rFonts w:hint="eastAsia" w:asciiTheme="minorEastAsia" w:hAnsiTheme="minorEastAsia" w:eastAsiaTheme="minorEastAsia" w:cstheme="minorEastAsia"/>
          <w:color w:val="auto"/>
          <w:sz w:val="24"/>
          <w:szCs w:val="24"/>
          <w:highlight w:val="none"/>
          <w:lang w:val="en-US" w:eastAsia="zh-CN"/>
        </w:rPr>
        <w:t>采购人、成交供应商</w:t>
      </w:r>
      <w:r>
        <w:rPr>
          <w:rFonts w:hint="eastAsia" w:asciiTheme="minorEastAsia" w:hAnsiTheme="minorEastAsia" w:eastAsiaTheme="minorEastAsia" w:cstheme="minorEastAsia"/>
          <w:color w:val="auto"/>
          <w:sz w:val="24"/>
          <w:szCs w:val="24"/>
          <w:highlight w:val="none"/>
          <w:lang w:val="zh-TW" w:eastAsia="zh-CN"/>
        </w:rPr>
        <w:t>双方必须认真履行合同条款。因本合同或与本合同有关的一切事项发生争议，由双方友好协商解决，协商不成的，任何一方均可向</w:t>
      </w:r>
      <w:r>
        <w:rPr>
          <w:rFonts w:hint="eastAsia" w:asciiTheme="minorEastAsia" w:hAnsiTheme="minorEastAsia" w:eastAsia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lang w:val="zh-TW" w:eastAsia="zh-CN"/>
        </w:rPr>
        <w:t>所在地人民法院提起诉讼。</w:t>
      </w:r>
    </w:p>
    <w:p w14:paraId="73BA4F06">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
          <w:bCs/>
          <w:color w:val="auto"/>
          <w:sz w:val="24"/>
          <w:szCs w:val="24"/>
          <w:highlight w:val="none"/>
          <w:lang w:val="zh-TW" w:eastAsia="zh-CN"/>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12、</w:t>
      </w:r>
      <w:r>
        <w:rPr>
          <w:rFonts w:hint="eastAsia" w:asciiTheme="minorEastAsia" w:hAnsiTheme="minorEastAsia" w:eastAsiaTheme="minorEastAsia" w:cstheme="minorEastAsia"/>
          <w:b/>
          <w:bCs/>
          <w:color w:val="auto"/>
          <w:sz w:val="24"/>
          <w:szCs w:val="24"/>
          <w:highlight w:val="none"/>
          <w:lang w:val="zh-TW" w:eastAsia="zh-CN"/>
        </w:rPr>
        <w:t>保密条款</w:t>
      </w:r>
    </w:p>
    <w:p w14:paraId="00BB40D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lang w:eastAsia="zh-CN"/>
        </w:rPr>
        <w:t>应当对本合同的内容、因履行本合同或在本合同期间知悉的或收到的甲方的财务、技术、产品信息、民警资料或其他工作上的文件资料、工作内容等予以保密，不得向本合同以外的任何第三方披露，签订并严格执行《单位保密承诺书》；</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lang w:eastAsia="zh-CN"/>
        </w:rPr>
        <w:t>进入采购人工作区域的工作人员需签订《个人保密承诺书》，严格履行保密义务。</w:t>
      </w:r>
    </w:p>
    <w:p w14:paraId="65A75F6D">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lang w:eastAsia="zh-CN"/>
        </w:rPr>
        <w:t>违反本条约定泄露采购人的涉密信息的，应承担相应的法律责任，造成采购人损失的，</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lang w:eastAsia="zh-CN"/>
        </w:rPr>
        <w:t>应当依法承担赔偿责任。</w:t>
      </w:r>
    </w:p>
    <w:p w14:paraId="72E5CF66">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13、</w:t>
      </w:r>
      <w:r>
        <w:rPr>
          <w:rFonts w:hint="eastAsia" w:asciiTheme="minorEastAsia" w:hAnsiTheme="minorEastAsia" w:eastAsiaTheme="minorEastAsia" w:cstheme="minorEastAsia"/>
          <w:b/>
          <w:bCs/>
          <w:color w:val="000000"/>
          <w:sz w:val="24"/>
          <w:szCs w:val="24"/>
          <w:highlight w:val="none"/>
        </w:rPr>
        <w:t>进入监管区有关违约责任</w:t>
      </w:r>
    </w:p>
    <w:p w14:paraId="66D8C4C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成交供应商进入采购人监管区的工作人员必须遵守采购人的工作制度和监管安全规定，服从采购人员的指挥，不得在监管区传递信息、现金、手机、毒品、枪支、刀具等违禁品、违规品，若有发现经核查属实的，成交供应商须马上更换工作人员，并视情况向采购人支付20000元的违约金，违约金采购人有权直接从服务费用中扣除。发生二次</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含</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以上或造成严重后果的，采购人有权解除合同并不退还履约保证金，成交供应商还应承担相关的法律责任。</w:t>
      </w:r>
    </w:p>
    <w:p w14:paraId="503AE0C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val="0"/>
          <w:bCs w:val="0"/>
          <w:color w:val="auto"/>
          <w:sz w:val="24"/>
          <w:szCs w:val="24"/>
          <w:highlight w:val="none"/>
        </w:rPr>
        <w:t>★</w:t>
      </w:r>
      <w:r>
        <w:rPr>
          <w:rFonts w:hint="eastAsia" w:asciiTheme="minorEastAsia" w:hAnsiTheme="minorEastAsia" w:eastAsiaTheme="minorEastAsia" w:cstheme="minorEastAsia"/>
          <w:b/>
          <w:bCs/>
          <w:color w:val="000000"/>
          <w:sz w:val="24"/>
          <w:szCs w:val="24"/>
          <w:highlight w:val="none"/>
          <w:lang w:val="en-US" w:eastAsia="zh-CN"/>
        </w:rPr>
        <w:t>14</w:t>
      </w:r>
      <w:r>
        <w:rPr>
          <w:rFonts w:hint="eastAsia" w:asciiTheme="minorEastAsia" w:hAnsiTheme="minorEastAsia" w:eastAsiaTheme="minorEastAsia" w:cstheme="minorEastAsia"/>
          <w:b/>
          <w:bCs/>
          <w:color w:val="000000"/>
          <w:sz w:val="24"/>
          <w:szCs w:val="24"/>
          <w:highlight w:val="none"/>
          <w:lang w:eastAsia="zh-CN"/>
        </w:rPr>
        <w:t>、</w:t>
      </w:r>
      <w:r>
        <w:rPr>
          <w:rFonts w:hint="eastAsia" w:asciiTheme="minorEastAsia" w:hAnsiTheme="minorEastAsia" w:eastAsiaTheme="minorEastAsia" w:cstheme="minorEastAsia"/>
          <w:b/>
          <w:bCs/>
          <w:color w:val="000000"/>
          <w:sz w:val="24"/>
          <w:szCs w:val="24"/>
          <w:highlight w:val="none"/>
        </w:rPr>
        <w:t>廉政条款</w:t>
      </w:r>
    </w:p>
    <w:p w14:paraId="360FA6A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成交供应商</w:t>
      </w:r>
      <w:r>
        <w:rPr>
          <w:rFonts w:hint="eastAsia" w:asciiTheme="minorEastAsia" w:hAnsiTheme="minorEastAsia" w:eastAsiaTheme="minorEastAsia" w:cstheme="minorEastAsia"/>
          <w:color w:val="000000"/>
          <w:sz w:val="24"/>
          <w:szCs w:val="24"/>
          <w:highlight w:val="none"/>
        </w:rPr>
        <w:t>及其工作人员不得有以任何形式行贿</w:t>
      </w:r>
      <w:r>
        <w:rPr>
          <w:rFonts w:hint="eastAsia" w:asciiTheme="minorEastAsia" w:hAnsiTheme="minorEastAsia" w:eastAsiaTheme="minorEastAsia" w:cstheme="minorEastAsia"/>
          <w:color w:val="000000"/>
          <w:sz w:val="24"/>
          <w:szCs w:val="24"/>
          <w:highlight w:val="none"/>
          <w:lang w:val="en-US" w:eastAsia="zh-CN"/>
        </w:rPr>
        <w:t>采购人</w:t>
      </w:r>
      <w:r>
        <w:rPr>
          <w:rFonts w:hint="eastAsia" w:asciiTheme="minorEastAsia" w:hAnsiTheme="minorEastAsia" w:eastAsiaTheme="minorEastAsia" w:cstheme="minorEastAsia"/>
          <w:color w:val="000000"/>
          <w:sz w:val="24"/>
          <w:szCs w:val="24"/>
          <w:highlight w:val="none"/>
        </w:rPr>
        <w:t>工作人员的行为，若发现并被核查属实的，</w:t>
      </w:r>
      <w:r>
        <w:rPr>
          <w:rFonts w:hint="eastAsia" w:asciiTheme="minorEastAsia" w:hAnsiTheme="minorEastAsia" w:eastAsiaTheme="minorEastAsia" w:cstheme="minorEastAsia"/>
          <w:color w:val="000000"/>
          <w:sz w:val="24"/>
          <w:szCs w:val="24"/>
          <w:highlight w:val="none"/>
          <w:lang w:val="en-US" w:eastAsia="zh-CN"/>
        </w:rPr>
        <w:t>采购人</w:t>
      </w:r>
      <w:r>
        <w:rPr>
          <w:rFonts w:hint="eastAsia" w:asciiTheme="minorEastAsia" w:hAnsiTheme="minorEastAsia" w:eastAsiaTheme="minorEastAsia" w:cstheme="minorEastAsia"/>
          <w:color w:val="000000"/>
          <w:sz w:val="24"/>
          <w:szCs w:val="24"/>
          <w:highlight w:val="none"/>
        </w:rPr>
        <w:t>有权解除合同且不退还履约保证金，情节严重的，</w:t>
      </w:r>
      <w:r>
        <w:rPr>
          <w:rFonts w:hint="eastAsia" w:asciiTheme="minorEastAsia" w:hAnsiTheme="minorEastAsia" w:eastAsiaTheme="minorEastAsia" w:cstheme="minorEastAsia"/>
          <w:color w:val="000000"/>
          <w:sz w:val="24"/>
          <w:szCs w:val="24"/>
          <w:highlight w:val="none"/>
          <w:lang w:val="en-US" w:eastAsia="zh-CN"/>
        </w:rPr>
        <w:t>成交供应商</w:t>
      </w:r>
      <w:r>
        <w:rPr>
          <w:rFonts w:hint="eastAsia" w:asciiTheme="minorEastAsia" w:hAnsiTheme="minorEastAsia" w:eastAsiaTheme="minorEastAsia" w:cstheme="minorEastAsia"/>
          <w:color w:val="000000"/>
          <w:sz w:val="24"/>
          <w:szCs w:val="24"/>
          <w:highlight w:val="none"/>
        </w:rPr>
        <w:t>及其工作人员还要承担相应的法律责任；</w:t>
      </w:r>
      <w:r>
        <w:rPr>
          <w:rFonts w:hint="eastAsia" w:asciiTheme="minorEastAsia" w:hAnsiTheme="minorEastAsia" w:eastAsiaTheme="minorEastAsia" w:cstheme="minorEastAsia"/>
          <w:color w:val="000000"/>
          <w:sz w:val="24"/>
          <w:szCs w:val="24"/>
          <w:highlight w:val="none"/>
          <w:lang w:val="en-US" w:eastAsia="zh-CN"/>
        </w:rPr>
        <w:t>采购人</w:t>
      </w:r>
      <w:r>
        <w:rPr>
          <w:rFonts w:hint="eastAsia" w:asciiTheme="minorEastAsia" w:hAnsiTheme="minorEastAsia" w:eastAsiaTheme="minorEastAsia" w:cstheme="minorEastAsia"/>
          <w:color w:val="000000"/>
          <w:sz w:val="24"/>
          <w:szCs w:val="24"/>
          <w:highlight w:val="none"/>
        </w:rPr>
        <w:t>及其工作人员不得索要或接受</w:t>
      </w:r>
      <w:r>
        <w:rPr>
          <w:rFonts w:hint="eastAsia" w:asciiTheme="minorEastAsia" w:hAnsiTheme="minorEastAsia" w:eastAsiaTheme="minorEastAsia" w:cstheme="minorEastAsia"/>
          <w:color w:val="000000"/>
          <w:sz w:val="24"/>
          <w:szCs w:val="24"/>
          <w:highlight w:val="none"/>
          <w:lang w:val="en-US" w:eastAsia="zh-CN"/>
        </w:rPr>
        <w:t>成交供应商</w:t>
      </w:r>
      <w:r>
        <w:rPr>
          <w:rFonts w:hint="eastAsia" w:asciiTheme="minorEastAsia" w:hAnsiTheme="minorEastAsia" w:eastAsiaTheme="minorEastAsia" w:cstheme="minorEastAsia"/>
          <w:color w:val="000000"/>
          <w:sz w:val="24"/>
          <w:szCs w:val="24"/>
          <w:highlight w:val="none"/>
        </w:rPr>
        <w:t>的礼金及吃请等，如有违反廉政纪律等行为的，依据有关规定给予党纪、政纪或组织处理，情节严重的，还应承担相应的法律责任。</w:t>
      </w:r>
    </w:p>
    <w:p w14:paraId="7A3AE8C9">
      <w:pPr>
        <w:pStyle w:val="31"/>
        <w:keepNext w:val="0"/>
        <w:keepLines w:val="0"/>
        <w:pageBreakBefore w:val="0"/>
        <w:widowControl w:val="0"/>
        <w:kinsoku/>
        <w:wordWrap/>
        <w:overflowPunct/>
        <w:topLinePunct w:val="0"/>
        <w:autoSpaceDE/>
        <w:autoSpaceDN/>
        <w:bidi w:val="0"/>
        <w:adjustRightInd/>
        <w:snapToGrid/>
        <w:spacing w:line="440" w:lineRule="exact"/>
        <w:ind w:firstLine="48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15、为了保持成交供应商测试、测评工作的公正性，保证用科学的方法出具准确、可靠的测试测评结果，供应商须在响应文件中提供公正性承诺函（格式详见竞争性谈判文件附件二），若组成联合体的，联合体各方均须单独提供承诺函并加盖公章，未提供服务承诺函的，按无效响应处理。</w:t>
      </w:r>
    </w:p>
    <w:p w14:paraId="2454BC61">
      <w:pPr>
        <w:pStyle w:val="31"/>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1"/>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四、其他事项</w:t>
      </w:r>
    </w:p>
    <w:p w14:paraId="5F1E6244">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1、除竞争性谈判文件另有规定外，若出现有关法律、法规和规章有强制性规定但竞争性谈判文件未列明的情形，则供应商应按照有关法律、法规和规章强制性规定执行。</w:t>
      </w:r>
    </w:p>
    <w:p w14:paraId="5230FE42">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2、其他：</w:t>
      </w:r>
    </w:p>
    <w:p w14:paraId="4DEEA40B">
      <w:pPr>
        <w:pStyle w:val="1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本项目不允许成交供应商以任何名义和理由在成交后将成交项目的主体、关键性工作进行转包。在履行合同过程中如有发现，采购人有权单方终止合同。视为成交供应商违约，成交供应商违约对采购人造成的损失的，需另行支付相应的赔偿，并追究相关法律责任。</w:t>
      </w:r>
    </w:p>
    <w:p w14:paraId="0FECA155">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2.2、本竞争性谈判文件未明确的其它约定事项或条款，待采购人与成交供应商签订合同时，由双方协商订立。</w:t>
      </w:r>
    </w:p>
    <w:p w14:paraId="6EED5EA8">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2.3、现场测试：本项目为在建工程，成交供应商应严格按相关法律法规落实相关管理职责：</w:t>
      </w:r>
    </w:p>
    <w:p w14:paraId="2526E413">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一是作业环境方面。成交供应商进场施工前，应至少提前3日与工程总承包单位（如有）沟通协调作业时段及作业方式，服从施工现场统一场地、通道、临水临电管理，妥善做好交叉施工统筹；</w:t>
      </w:r>
    </w:p>
    <w:p w14:paraId="60991EB0">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二是成品保护。成交供应商组织测试测评过程中应妥善保护现场已完成土建、装饰、机电成品，做好自身的工完场清，如因现场作业造成既有成品损坏、污染，由成交供应商承担全部修复费用（按照同品同质修复）及工期损失；</w:t>
      </w:r>
    </w:p>
    <w:p w14:paraId="28DE1884">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三是安全生产管理。成交供应商应对自身工作人员、工作设备、作业活动承担主体安全责任，严格遵守施工现场安全管理规定，落实安全防护措施，作业期间发生的一切安全事故、人员伤害及财产损失，均由成交供应商自行负责；</w:t>
      </w:r>
    </w:p>
    <w:p w14:paraId="7B356B80">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四是按照总承包合同约定工程总承包单位为成交供应商提供方便和施工配合等所产生的配合费，由工程总承包单位向成交供应商自行协商收取，配合费参照《福建省建筑安装工程费用定额》（2017版）规定计算，其中费率（含税）不得高于1.5%。</w:t>
      </w:r>
    </w:p>
    <w:p w14:paraId="5B4E2D4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textAlignment w:val="auto"/>
        <w:outlineLvl w:val="9"/>
        <w:rPr>
          <w:rFonts w:hint="eastAsia" w:asciiTheme="minorEastAsia" w:hAnsiTheme="minorEastAsia" w:eastAsiaTheme="minorEastAsia" w:cstheme="minorEastAsia"/>
          <w:b/>
          <w:bCs w:val="0"/>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rPr>
        <w:t>关于</w:t>
      </w:r>
      <w:r>
        <w:rPr>
          <w:rFonts w:hint="eastAsia" w:asciiTheme="minorEastAsia" w:hAnsiTheme="minorEastAsia" w:eastAsiaTheme="minorEastAsia" w:cstheme="minorEastAsia"/>
          <w:bCs/>
          <w:color w:val="auto"/>
          <w:sz w:val="24"/>
          <w:szCs w:val="24"/>
          <w:highlight w:val="none"/>
        </w:rPr>
        <w:t>最后报价要求：只有资格审查和符合性审查均合格的供应商才能提交最后报价，合格供应商在进行竞争性谈判前，需自行准备《谈判后最终报价文件》和《谈判后最终分项报价文件》（具体格式详见附件）。</w:t>
      </w:r>
      <w:r>
        <w:rPr>
          <w:rFonts w:hint="eastAsia" w:asciiTheme="minorEastAsia" w:hAnsiTheme="minorEastAsia" w:eastAsiaTheme="minorEastAsia" w:cstheme="minorEastAsia"/>
          <w:b/>
          <w:bCs w:val="0"/>
          <w:color w:val="auto"/>
          <w:sz w:val="24"/>
          <w:szCs w:val="24"/>
          <w:highlight w:val="none"/>
        </w:rPr>
        <w:t>（注：供应商提供的《谈判后最终</w:t>
      </w:r>
      <w:r>
        <w:rPr>
          <w:rFonts w:hint="eastAsia" w:asciiTheme="minorEastAsia" w:hAnsiTheme="minorEastAsia" w:cstheme="minorEastAsia"/>
          <w:b/>
          <w:bCs w:val="0"/>
          <w:color w:val="auto"/>
          <w:sz w:val="24"/>
          <w:szCs w:val="24"/>
          <w:highlight w:val="none"/>
          <w:lang w:val="en-US" w:eastAsia="zh-CN"/>
        </w:rPr>
        <w:t>报价</w:t>
      </w:r>
      <w:r>
        <w:rPr>
          <w:rFonts w:hint="eastAsia" w:asciiTheme="minorEastAsia" w:hAnsiTheme="minorEastAsia" w:eastAsiaTheme="minorEastAsia" w:cstheme="minorEastAsia"/>
          <w:b/>
          <w:bCs w:val="0"/>
          <w:color w:val="auto"/>
          <w:sz w:val="24"/>
          <w:szCs w:val="24"/>
          <w:highlight w:val="none"/>
        </w:rPr>
        <w:t>文件》</w:t>
      </w:r>
      <w:r>
        <w:rPr>
          <w:rFonts w:hint="eastAsia" w:asciiTheme="minorEastAsia" w:hAnsiTheme="minorEastAsia" w:eastAsiaTheme="minorEastAsia" w:cstheme="minorEastAsia"/>
          <w:b/>
          <w:bCs w:val="0"/>
          <w:color w:val="auto"/>
          <w:sz w:val="24"/>
          <w:szCs w:val="24"/>
          <w:highlight w:val="none"/>
          <w:lang w:val="en-US" w:eastAsia="zh-CN"/>
        </w:rPr>
        <w:t>和《谈判后最终分项报价文件》</w:t>
      </w:r>
      <w:r>
        <w:rPr>
          <w:rFonts w:hint="eastAsia" w:asciiTheme="minorEastAsia" w:hAnsiTheme="minorEastAsia" w:eastAsiaTheme="minorEastAsia" w:cstheme="minorEastAsia"/>
          <w:b/>
          <w:bCs w:val="0"/>
          <w:color w:val="auto"/>
          <w:sz w:val="24"/>
          <w:szCs w:val="24"/>
          <w:highlight w:val="none"/>
        </w:rPr>
        <w:t>应另外密封，勿在响应文件中体现，否则</w:t>
      </w:r>
      <w:r>
        <w:rPr>
          <w:rFonts w:hint="eastAsia" w:asciiTheme="minorEastAsia" w:hAnsiTheme="minorEastAsia" w:eastAsiaTheme="minorEastAsia" w:cstheme="minorEastAsia"/>
          <w:b/>
          <w:bCs w:val="0"/>
          <w:color w:val="auto"/>
          <w:sz w:val="24"/>
          <w:szCs w:val="24"/>
          <w:highlight w:val="none"/>
          <w:lang w:eastAsia="zh-CN"/>
        </w:rPr>
        <w:t>视为</w:t>
      </w:r>
      <w:r>
        <w:rPr>
          <w:rFonts w:hint="eastAsia" w:asciiTheme="minorEastAsia" w:hAnsiTheme="minorEastAsia" w:eastAsiaTheme="minorEastAsia" w:cstheme="minorEastAsia"/>
          <w:b/>
          <w:bCs w:val="0"/>
          <w:color w:val="auto"/>
          <w:sz w:val="24"/>
          <w:szCs w:val="24"/>
          <w:highlight w:val="none"/>
        </w:rPr>
        <w:t>无效响应）</w:t>
      </w:r>
    </w:p>
    <w:p w14:paraId="36168077">
      <w:pPr>
        <w:pStyle w:val="15"/>
        <w:keepNext w:val="0"/>
        <w:keepLines w:val="0"/>
        <w:pageBreakBefore w:val="0"/>
        <w:widowControl w:val="0"/>
        <w:kinsoku/>
        <w:wordWrap/>
        <w:overflowPunct/>
        <w:topLinePunct w:val="0"/>
        <w:autoSpaceDE/>
        <w:autoSpaceDN/>
        <w:bidi w:val="0"/>
        <w:adjustRightInd/>
        <w:snapToGrid/>
        <w:spacing w:beforeAutospacing="0" w:afterAutospacing="0" w:line="440" w:lineRule="exact"/>
        <w:textAlignment w:val="auto"/>
        <w:rPr>
          <w:rFonts w:hint="eastAsia" w:asciiTheme="minorEastAsia" w:hAnsiTheme="minorEastAsia" w:eastAsiaTheme="minorEastAsia" w:cstheme="minorEastAsia"/>
          <w:b/>
          <w:color w:val="auto"/>
          <w:sz w:val="24"/>
          <w:szCs w:val="24"/>
          <w:highlight w:val="none"/>
          <w:lang w:val="en-US" w:eastAsia="zh-CN"/>
        </w:rPr>
        <w:sectPr>
          <w:pgSz w:w="11906" w:h="16838"/>
          <w:pgMar w:top="1417" w:right="1417" w:bottom="1417" w:left="1417" w:header="851" w:footer="992" w:gutter="0"/>
          <w:cols w:space="0" w:num="1"/>
          <w:rtlGutter w:val="0"/>
          <w:docGrid w:type="lines" w:linePitch="312" w:charSpace="0"/>
        </w:sectPr>
      </w:pPr>
    </w:p>
    <w:p w14:paraId="16E91051">
      <w:pPr>
        <w:pStyle w:val="15"/>
        <w:spacing w:beforeAutospacing="0" w:afterAutospacing="0" w:line="440" w:lineRule="exact"/>
        <w:rPr>
          <w:rFonts w:ascii="宋体" w:hAnsi="宋体" w:eastAsia="宋体" w:cs="宋体"/>
          <w:bCs/>
          <w:color w:val="auto"/>
          <w:highlight w:val="none"/>
        </w:rPr>
      </w:pPr>
      <w:r>
        <w:rPr>
          <w:rFonts w:hint="eastAsia" w:ascii="宋体" w:hAnsi="宋体" w:eastAsia="宋体" w:cs="宋体"/>
          <w:bCs/>
          <w:color w:val="auto"/>
          <w:highlight w:val="none"/>
        </w:rPr>
        <w:t>附件一：</w:t>
      </w:r>
    </w:p>
    <w:p w14:paraId="32B27F01">
      <w:pPr>
        <w:pStyle w:val="15"/>
        <w:widowControl/>
        <w:spacing w:beforeAutospacing="0" w:afterAutospacing="0" w:line="480" w:lineRule="exact"/>
        <w:jc w:val="center"/>
        <w:rPr>
          <w:rFonts w:ascii="宋体" w:hAnsi="宋体" w:eastAsia="宋体" w:cs="宋体"/>
          <w:color w:val="auto"/>
          <w:highlight w:val="none"/>
        </w:rPr>
      </w:pPr>
      <w:r>
        <w:rPr>
          <w:rStyle w:val="22"/>
          <w:rFonts w:hint="eastAsia" w:ascii="宋体" w:hAnsi="宋体" w:eastAsia="宋体" w:cs="宋体"/>
          <w:bCs/>
          <w:color w:val="auto"/>
          <w:sz w:val="36"/>
          <w:szCs w:val="36"/>
          <w:highlight w:val="none"/>
          <w:shd w:val="clear" w:color="auto" w:fill="FFFFFF"/>
        </w:rPr>
        <w:t>谈判后最终</w:t>
      </w:r>
      <w:r>
        <w:rPr>
          <w:rStyle w:val="22"/>
          <w:rFonts w:hint="eastAsia" w:ascii="宋体" w:hAnsi="宋体" w:eastAsia="宋体" w:cs="宋体"/>
          <w:bCs/>
          <w:color w:val="auto"/>
          <w:sz w:val="36"/>
          <w:szCs w:val="36"/>
          <w:highlight w:val="none"/>
          <w:shd w:val="clear" w:color="auto" w:fill="FFFFFF"/>
          <w:lang w:val="en-US" w:eastAsia="zh-CN"/>
        </w:rPr>
        <w:t>报价</w:t>
      </w:r>
      <w:r>
        <w:rPr>
          <w:rStyle w:val="22"/>
          <w:rFonts w:hint="eastAsia" w:ascii="宋体" w:hAnsi="宋体" w:eastAsia="宋体" w:cs="宋体"/>
          <w:bCs/>
          <w:color w:val="auto"/>
          <w:sz w:val="36"/>
          <w:szCs w:val="36"/>
          <w:highlight w:val="none"/>
          <w:shd w:val="clear" w:color="auto" w:fill="FFFFFF"/>
        </w:rPr>
        <w:t>文件</w:t>
      </w:r>
    </w:p>
    <w:p w14:paraId="09D4AD67">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shd w:val="clear" w:color="auto" w:fill="FFFFFF"/>
        </w:rPr>
        <w:t>1、项目名称：</w:t>
      </w:r>
      <w:r>
        <w:rPr>
          <w:rFonts w:hint="eastAsia" w:ascii="宋体" w:hAnsi="宋体" w:eastAsia="宋体" w:cs="宋体"/>
          <w:color w:val="auto"/>
          <w:highlight w:val="none"/>
          <w:shd w:val="clear" w:color="auto" w:fill="FFFFFF"/>
          <w:lang w:eastAsia="zh-CN"/>
        </w:rPr>
        <w:t>福建省病犯监狱（福建省建新医院）一标段智能化系统采购项目配套测试测评服务项目</w:t>
      </w:r>
    </w:p>
    <w:p w14:paraId="2B5A2829">
      <w:pPr>
        <w:pStyle w:val="15"/>
        <w:widowControl/>
        <w:spacing w:beforeAutospacing="0" w:afterAutospacing="0" w:line="48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2、项目编号：</w:t>
      </w:r>
      <w:r>
        <w:rPr>
          <w:rFonts w:hint="eastAsia" w:ascii="宋体" w:hAnsi="宋体" w:eastAsia="宋体" w:cs="宋体"/>
          <w:color w:val="auto"/>
          <w:highlight w:val="none"/>
          <w:shd w:val="clear" w:color="auto" w:fill="FFFFFF"/>
          <w:lang w:eastAsia="zh-CN"/>
        </w:rPr>
        <w:t>FJZC-TP-2026-030</w:t>
      </w:r>
    </w:p>
    <w:p w14:paraId="377A7FE5">
      <w:pPr>
        <w:pStyle w:val="15"/>
        <w:widowControl/>
        <w:spacing w:beforeAutospacing="0" w:afterAutospacing="0" w:line="48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3、采购单位：</w:t>
      </w:r>
      <w:r>
        <w:rPr>
          <w:rFonts w:hint="eastAsia" w:ascii="宋体" w:hAnsi="宋体" w:eastAsia="宋体" w:cs="宋体"/>
          <w:color w:val="auto"/>
          <w:highlight w:val="none"/>
          <w:shd w:val="clear" w:color="auto" w:fill="FFFFFF"/>
          <w:lang w:eastAsia="zh-CN"/>
        </w:rPr>
        <w:t>福建省建新医院</w:t>
      </w:r>
    </w:p>
    <w:p w14:paraId="7792CB1A">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shd w:val="clear" w:color="auto" w:fill="FFFFFF"/>
        </w:rPr>
        <w:t>4、谈判地点：福州市鼓楼区西洪路528号59号楼2层</w:t>
      </w:r>
    </w:p>
    <w:p w14:paraId="011E90D3">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shd w:val="clear" w:color="auto" w:fill="FFFFFF"/>
        </w:rPr>
        <w:t>5、供应商名称：</w:t>
      </w:r>
      <w:r>
        <w:rPr>
          <w:rFonts w:hint="eastAsia" w:ascii="宋体" w:hAnsi="宋体" w:eastAsia="宋体" w:cs="宋体"/>
          <w:color w:val="auto"/>
          <w:highlight w:val="none"/>
          <w:u w:val="single"/>
          <w:shd w:val="clear" w:color="auto" w:fill="FFFFFF"/>
        </w:rPr>
        <w:t>                        </w:t>
      </w:r>
    </w:p>
    <w:p w14:paraId="65183BA5">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shd w:val="clear" w:color="auto" w:fill="FFFFFF"/>
        </w:rPr>
        <w:t>6、最终报价：</w:t>
      </w:r>
    </w:p>
    <w:tbl>
      <w:tblPr>
        <w:tblStyle w:val="19"/>
        <w:tblW w:w="9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25"/>
        <w:gridCol w:w="3502"/>
        <w:gridCol w:w="1214"/>
        <w:gridCol w:w="2028"/>
        <w:gridCol w:w="1436"/>
      </w:tblGrid>
      <w:tr w14:paraId="6CF2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0" w:hRule="atLeast"/>
        </w:trPr>
        <w:tc>
          <w:tcPr>
            <w:tcW w:w="1125" w:type="dxa"/>
            <w:tcBorders>
              <w:tl2br w:val="nil"/>
              <w:tr2bl w:val="nil"/>
            </w:tcBorders>
            <w:tcMar>
              <w:top w:w="0" w:type="dxa"/>
              <w:left w:w="105" w:type="dxa"/>
              <w:bottom w:w="0" w:type="dxa"/>
              <w:right w:w="105" w:type="dxa"/>
            </w:tcMar>
            <w:vAlign w:val="center"/>
          </w:tcPr>
          <w:p w14:paraId="6B18ED26">
            <w:pPr>
              <w:pStyle w:val="15"/>
              <w:widowControl/>
              <w:spacing w:beforeAutospacing="0" w:afterAutospacing="0" w:line="480" w:lineRule="exact"/>
              <w:jc w:val="center"/>
              <w:rPr>
                <w:rFonts w:ascii="宋体" w:hAnsi="宋体" w:eastAsia="宋体" w:cs="宋体"/>
                <w:color w:val="auto"/>
                <w:highlight w:val="none"/>
              </w:rPr>
            </w:pPr>
            <w:r>
              <w:rPr>
                <w:rFonts w:hint="eastAsia" w:ascii="宋体" w:hAnsi="宋体" w:eastAsia="宋体" w:cs="宋体"/>
                <w:color w:val="auto"/>
                <w:highlight w:val="none"/>
              </w:rPr>
              <w:t>采购包</w:t>
            </w:r>
          </w:p>
        </w:tc>
        <w:tc>
          <w:tcPr>
            <w:tcW w:w="3502" w:type="dxa"/>
            <w:tcBorders>
              <w:tl2br w:val="nil"/>
              <w:tr2bl w:val="nil"/>
            </w:tcBorders>
            <w:tcMar>
              <w:top w:w="0" w:type="dxa"/>
              <w:left w:w="105" w:type="dxa"/>
              <w:bottom w:w="0" w:type="dxa"/>
              <w:right w:w="105" w:type="dxa"/>
            </w:tcMar>
            <w:vAlign w:val="center"/>
          </w:tcPr>
          <w:p w14:paraId="2AB637B0">
            <w:pPr>
              <w:pStyle w:val="15"/>
              <w:widowControl/>
              <w:spacing w:beforeAutospacing="0" w:afterAutospacing="0" w:line="480" w:lineRule="exact"/>
              <w:jc w:val="center"/>
              <w:rPr>
                <w:rFonts w:ascii="宋体" w:hAnsi="宋体" w:eastAsia="宋体" w:cs="宋体"/>
                <w:color w:val="auto"/>
                <w:highlight w:val="none"/>
              </w:rPr>
            </w:pPr>
            <w:r>
              <w:rPr>
                <w:rFonts w:hint="eastAsia" w:ascii="宋体" w:hAnsi="宋体" w:eastAsia="宋体" w:cs="宋体"/>
                <w:color w:val="auto"/>
                <w:highlight w:val="none"/>
              </w:rPr>
              <w:t>采购标的</w:t>
            </w:r>
          </w:p>
        </w:tc>
        <w:tc>
          <w:tcPr>
            <w:tcW w:w="1214" w:type="dxa"/>
            <w:tcBorders>
              <w:tl2br w:val="nil"/>
              <w:tr2bl w:val="nil"/>
            </w:tcBorders>
            <w:tcMar>
              <w:top w:w="0" w:type="dxa"/>
              <w:left w:w="105" w:type="dxa"/>
              <w:bottom w:w="0" w:type="dxa"/>
              <w:right w:w="105" w:type="dxa"/>
            </w:tcMar>
            <w:vAlign w:val="center"/>
          </w:tcPr>
          <w:p w14:paraId="54FC5A41">
            <w:pPr>
              <w:pStyle w:val="15"/>
              <w:widowControl/>
              <w:spacing w:beforeAutospacing="0" w:afterAutospacing="0" w:line="480" w:lineRule="exact"/>
              <w:jc w:val="center"/>
              <w:rPr>
                <w:rFonts w:ascii="宋体" w:hAnsi="宋体" w:eastAsia="宋体" w:cs="宋体"/>
                <w:color w:val="auto"/>
                <w:highlight w:val="none"/>
              </w:rPr>
            </w:pPr>
            <w:r>
              <w:rPr>
                <w:rFonts w:hint="eastAsia" w:ascii="宋体" w:hAnsi="宋体" w:eastAsia="宋体" w:cs="宋体"/>
                <w:color w:val="auto"/>
                <w:highlight w:val="none"/>
              </w:rPr>
              <w:t>数量</w:t>
            </w:r>
          </w:p>
        </w:tc>
        <w:tc>
          <w:tcPr>
            <w:tcW w:w="2028" w:type="dxa"/>
            <w:tcBorders>
              <w:tl2br w:val="nil"/>
              <w:tr2bl w:val="nil"/>
            </w:tcBorders>
            <w:tcMar>
              <w:top w:w="0" w:type="dxa"/>
              <w:left w:w="105" w:type="dxa"/>
              <w:bottom w:w="0" w:type="dxa"/>
              <w:right w:w="105" w:type="dxa"/>
            </w:tcMar>
            <w:vAlign w:val="center"/>
          </w:tcPr>
          <w:p w14:paraId="11E38E65">
            <w:pPr>
              <w:pStyle w:val="15"/>
              <w:widowControl/>
              <w:spacing w:beforeAutospacing="0" w:afterAutospacing="0" w:line="480" w:lineRule="exact"/>
              <w:jc w:val="center"/>
              <w:rPr>
                <w:rFonts w:ascii="宋体" w:hAnsi="宋体" w:eastAsia="宋体" w:cs="宋体"/>
                <w:color w:val="auto"/>
                <w:highlight w:val="none"/>
              </w:rPr>
            </w:pPr>
            <w:r>
              <w:rPr>
                <w:rFonts w:hint="eastAsia" w:ascii="宋体" w:hAnsi="宋体" w:eastAsia="宋体" w:cs="宋体"/>
                <w:color w:val="auto"/>
                <w:highlight w:val="none"/>
              </w:rPr>
              <w:t>最终报价（元）</w:t>
            </w:r>
          </w:p>
        </w:tc>
        <w:tc>
          <w:tcPr>
            <w:tcW w:w="1436" w:type="dxa"/>
            <w:tcBorders>
              <w:tl2br w:val="nil"/>
              <w:tr2bl w:val="nil"/>
            </w:tcBorders>
            <w:tcMar>
              <w:top w:w="0" w:type="dxa"/>
              <w:left w:w="105" w:type="dxa"/>
              <w:bottom w:w="0" w:type="dxa"/>
              <w:right w:w="105" w:type="dxa"/>
            </w:tcMar>
            <w:vAlign w:val="center"/>
          </w:tcPr>
          <w:p w14:paraId="209D59EC">
            <w:pPr>
              <w:pStyle w:val="15"/>
              <w:widowControl/>
              <w:spacing w:beforeAutospacing="0" w:afterAutospacing="0" w:line="48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3BDB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125" w:type="dxa"/>
            <w:tcBorders>
              <w:tl2br w:val="nil"/>
              <w:tr2bl w:val="nil"/>
            </w:tcBorders>
            <w:tcMar>
              <w:top w:w="0" w:type="dxa"/>
              <w:left w:w="105" w:type="dxa"/>
              <w:bottom w:w="0" w:type="dxa"/>
              <w:right w:w="105" w:type="dxa"/>
            </w:tcMar>
            <w:vAlign w:val="center"/>
          </w:tcPr>
          <w:p w14:paraId="5BE5C5C6">
            <w:pPr>
              <w:pStyle w:val="15"/>
              <w:widowControl/>
              <w:spacing w:beforeAutospacing="0" w:afterAutospacing="0" w:line="480" w:lineRule="exact"/>
              <w:jc w:val="center"/>
              <w:rPr>
                <w:rFonts w:ascii="宋体" w:hAnsi="宋体" w:eastAsia="宋体" w:cs="宋体"/>
                <w:color w:val="auto"/>
                <w:highlight w:val="none"/>
              </w:rPr>
            </w:pPr>
          </w:p>
        </w:tc>
        <w:tc>
          <w:tcPr>
            <w:tcW w:w="3502" w:type="dxa"/>
            <w:tcBorders>
              <w:tl2br w:val="nil"/>
              <w:tr2bl w:val="nil"/>
            </w:tcBorders>
            <w:tcMar>
              <w:top w:w="0" w:type="dxa"/>
              <w:left w:w="105" w:type="dxa"/>
              <w:bottom w:w="0" w:type="dxa"/>
              <w:right w:w="105" w:type="dxa"/>
            </w:tcMar>
            <w:vAlign w:val="center"/>
          </w:tcPr>
          <w:p w14:paraId="6553CAC4">
            <w:pPr>
              <w:pStyle w:val="9"/>
              <w:jc w:val="center"/>
              <w:rPr>
                <w:rFonts w:hAnsi="宋体" w:eastAsia="宋体" w:cs="宋体"/>
                <w:color w:val="auto"/>
                <w:highlight w:val="none"/>
              </w:rPr>
            </w:pPr>
          </w:p>
        </w:tc>
        <w:tc>
          <w:tcPr>
            <w:tcW w:w="1214" w:type="dxa"/>
            <w:tcBorders>
              <w:tl2br w:val="nil"/>
              <w:tr2bl w:val="nil"/>
            </w:tcBorders>
            <w:tcMar>
              <w:top w:w="0" w:type="dxa"/>
              <w:left w:w="105" w:type="dxa"/>
              <w:bottom w:w="0" w:type="dxa"/>
              <w:right w:w="105" w:type="dxa"/>
            </w:tcMar>
            <w:vAlign w:val="center"/>
          </w:tcPr>
          <w:p w14:paraId="05DF5EED">
            <w:pPr>
              <w:pStyle w:val="9"/>
              <w:jc w:val="center"/>
              <w:rPr>
                <w:rFonts w:hAnsi="宋体" w:eastAsia="宋体" w:cs="宋体"/>
                <w:color w:val="auto"/>
                <w:highlight w:val="none"/>
              </w:rPr>
            </w:pPr>
          </w:p>
        </w:tc>
        <w:tc>
          <w:tcPr>
            <w:tcW w:w="2028" w:type="dxa"/>
            <w:tcBorders>
              <w:tl2br w:val="nil"/>
              <w:tr2bl w:val="nil"/>
            </w:tcBorders>
            <w:tcMar>
              <w:top w:w="0" w:type="dxa"/>
              <w:left w:w="105" w:type="dxa"/>
              <w:bottom w:w="0" w:type="dxa"/>
              <w:right w:w="105" w:type="dxa"/>
            </w:tcMar>
            <w:vAlign w:val="center"/>
          </w:tcPr>
          <w:p w14:paraId="3E082E6F">
            <w:pPr>
              <w:widowControl/>
              <w:spacing w:line="480" w:lineRule="exact"/>
              <w:jc w:val="left"/>
              <w:rPr>
                <w:rFonts w:ascii="宋体" w:hAnsi="宋体" w:eastAsia="宋体" w:cs="宋体"/>
                <w:color w:val="auto"/>
                <w:highlight w:val="none"/>
              </w:rPr>
            </w:pPr>
          </w:p>
        </w:tc>
        <w:tc>
          <w:tcPr>
            <w:tcW w:w="1436" w:type="dxa"/>
            <w:tcBorders>
              <w:tl2br w:val="nil"/>
              <w:tr2bl w:val="nil"/>
            </w:tcBorders>
            <w:tcMar>
              <w:top w:w="0" w:type="dxa"/>
              <w:left w:w="105" w:type="dxa"/>
              <w:bottom w:w="0" w:type="dxa"/>
              <w:right w:w="105" w:type="dxa"/>
            </w:tcMar>
            <w:vAlign w:val="center"/>
          </w:tcPr>
          <w:p w14:paraId="03F20D2D">
            <w:pPr>
              <w:widowControl/>
              <w:spacing w:line="480" w:lineRule="exact"/>
              <w:jc w:val="left"/>
              <w:rPr>
                <w:rFonts w:ascii="宋体" w:hAnsi="宋体" w:eastAsia="宋体" w:cs="宋体"/>
                <w:color w:val="auto"/>
                <w:highlight w:val="none"/>
              </w:rPr>
            </w:pPr>
          </w:p>
        </w:tc>
      </w:tr>
      <w:tr w14:paraId="4C46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55" w:hRule="atLeast"/>
        </w:trPr>
        <w:tc>
          <w:tcPr>
            <w:tcW w:w="4627" w:type="dxa"/>
            <w:gridSpan w:val="2"/>
            <w:tcBorders>
              <w:tl2br w:val="nil"/>
              <w:tr2bl w:val="nil"/>
            </w:tcBorders>
            <w:tcMar>
              <w:top w:w="0" w:type="dxa"/>
              <w:left w:w="105" w:type="dxa"/>
              <w:bottom w:w="0" w:type="dxa"/>
              <w:right w:w="105" w:type="dxa"/>
            </w:tcMar>
            <w:vAlign w:val="center"/>
          </w:tcPr>
          <w:p w14:paraId="1A6F460F">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rPr>
              <w:t>最终报价总价（大写）：</w:t>
            </w:r>
          </w:p>
          <w:p w14:paraId="6CBAEEFD">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u w:val="single"/>
              </w:rPr>
              <w:t>                            </w:t>
            </w:r>
          </w:p>
        </w:tc>
        <w:tc>
          <w:tcPr>
            <w:tcW w:w="4678" w:type="dxa"/>
            <w:gridSpan w:val="3"/>
            <w:tcBorders>
              <w:tl2br w:val="nil"/>
              <w:tr2bl w:val="nil"/>
            </w:tcBorders>
            <w:tcMar>
              <w:top w:w="0" w:type="dxa"/>
              <w:left w:w="105" w:type="dxa"/>
              <w:bottom w:w="0" w:type="dxa"/>
              <w:right w:w="105" w:type="dxa"/>
            </w:tcMar>
            <w:vAlign w:val="center"/>
          </w:tcPr>
          <w:p w14:paraId="5212E6EB">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rPr>
              <w:t>最终报价总价（小写）：</w:t>
            </w:r>
          </w:p>
          <w:p w14:paraId="37E12C00">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u w:val="single"/>
              </w:rPr>
              <w:t>                </w:t>
            </w:r>
          </w:p>
        </w:tc>
      </w:tr>
    </w:tbl>
    <w:p w14:paraId="6ADBB1F8">
      <w:pPr>
        <w:pStyle w:val="15"/>
        <w:widowControl/>
        <w:spacing w:beforeAutospacing="0" w:afterAutospacing="0" w:line="480" w:lineRule="exact"/>
        <w:rPr>
          <w:rFonts w:ascii="宋体" w:hAnsi="宋体" w:eastAsia="宋体" w:cs="宋体"/>
          <w:color w:val="auto"/>
          <w:highlight w:val="none"/>
        </w:rPr>
      </w:pPr>
      <w:r>
        <w:rPr>
          <w:rFonts w:hint="eastAsia" w:ascii="宋体" w:hAnsi="宋体" w:eastAsia="宋体" w:cs="宋体"/>
          <w:color w:val="auto"/>
          <w:highlight w:val="none"/>
          <w:shd w:val="clear" w:color="auto" w:fill="FFFFFF"/>
        </w:rPr>
        <w:t>7、谈判内容：</w:t>
      </w:r>
    </w:p>
    <w:tbl>
      <w:tblPr>
        <w:tblStyle w:val="19"/>
        <w:tblW w:w="930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15" w:type="dxa"/>
          <w:left w:w="15" w:type="dxa"/>
          <w:bottom w:w="15" w:type="dxa"/>
          <w:right w:w="15" w:type="dxa"/>
        </w:tblCellMar>
      </w:tblPr>
      <w:tblGrid>
        <w:gridCol w:w="9305"/>
      </w:tblGrid>
      <w:tr w14:paraId="4B6DB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75" w:hRule="atLeast"/>
        </w:trPr>
        <w:tc>
          <w:tcPr>
            <w:tcW w:w="9305" w:type="dxa"/>
            <w:tcBorders>
              <w:tl2br w:val="nil"/>
              <w:tr2bl w:val="nil"/>
            </w:tcBorders>
            <w:shd w:val="clear" w:color="auto" w:fill="FFFFFF"/>
            <w:tcMar>
              <w:top w:w="0" w:type="dxa"/>
              <w:left w:w="105" w:type="dxa"/>
              <w:bottom w:w="0" w:type="dxa"/>
              <w:right w:w="105" w:type="dxa"/>
            </w:tcMar>
          </w:tcPr>
          <w:p w14:paraId="68B5D6A4">
            <w:pPr>
              <w:pStyle w:val="15"/>
              <w:widowControl/>
              <w:spacing w:beforeAutospacing="0" w:afterAutospacing="0" w:line="480" w:lineRule="exact"/>
              <w:ind w:firstLine="480"/>
              <w:rPr>
                <w:rFonts w:ascii="宋体" w:hAnsi="宋体" w:eastAsia="宋体" w:cs="宋体"/>
                <w:color w:val="auto"/>
                <w:highlight w:val="none"/>
              </w:rPr>
            </w:pPr>
            <w:r>
              <w:rPr>
                <w:rFonts w:hint="eastAsia" w:ascii="宋体" w:hAnsi="宋体" w:eastAsia="宋体" w:cs="宋体"/>
                <w:color w:val="auto"/>
                <w:highlight w:val="none"/>
              </w:rPr>
              <w:t>本公司完全知悉《竞争性谈判文件》竞争性谈判须知第13条“谈判程序及评定成交标准”的全部内容，并完全响应竞争性谈判文件的全部要求，对竞争性谈判文件采购需求中的技术、服务要求以及合同草案条款等均无需进行谈判。</w:t>
            </w:r>
          </w:p>
          <w:p w14:paraId="2A13161C">
            <w:pPr>
              <w:pStyle w:val="15"/>
              <w:widowControl/>
              <w:spacing w:beforeAutospacing="0" w:afterAutospacing="0" w:line="480" w:lineRule="exact"/>
              <w:ind w:firstLine="480"/>
              <w:rPr>
                <w:rFonts w:ascii="宋体" w:hAnsi="宋体" w:eastAsia="宋体" w:cs="宋体"/>
                <w:color w:val="auto"/>
                <w:highlight w:val="none"/>
              </w:rPr>
            </w:pPr>
            <w:r>
              <w:rPr>
                <w:rFonts w:hint="eastAsia" w:ascii="宋体" w:hAnsi="宋体" w:eastAsia="宋体" w:cs="宋体"/>
                <w:color w:val="auto"/>
                <w:highlight w:val="none"/>
              </w:rPr>
              <w:t>补充内容：</w:t>
            </w:r>
          </w:p>
          <w:p w14:paraId="009BFFB8">
            <w:pPr>
              <w:pStyle w:val="15"/>
              <w:widowControl/>
              <w:spacing w:beforeAutospacing="0" w:afterAutospacing="0" w:line="480" w:lineRule="exact"/>
              <w:ind w:firstLine="480"/>
              <w:rPr>
                <w:rFonts w:ascii="宋体" w:hAnsi="宋体" w:eastAsia="宋体" w:cs="宋体"/>
                <w:color w:val="auto"/>
                <w:highlight w:val="none"/>
              </w:rPr>
            </w:pPr>
            <w:r>
              <w:rPr>
                <w:rFonts w:hint="eastAsia" w:ascii="宋体" w:hAnsi="宋体" w:eastAsia="宋体" w:cs="宋体"/>
                <w:color w:val="auto"/>
                <w:highlight w:val="none"/>
              </w:rPr>
              <w:t> </w:t>
            </w:r>
          </w:p>
        </w:tc>
      </w:tr>
    </w:tbl>
    <w:p w14:paraId="1B3704F6">
      <w:pPr>
        <w:pStyle w:val="15"/>
        <w:widowControl/>
        <w:spacing w:beforeAutospacing="0" w:afterAutospacing="0" w:line="480" w:lineRule="exact"/>
        <w:ind w:firstLine="4080"/>
        <w:rPr>
          <w:rFonts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67FFBFB8">
      <w:pPr>
        <w:pStyle w:val="15"/>
        <w:widowControl/>
        <w:spacing w:beforeAutospacing="0" w:afterAutospacing="0" w:line="480" w:lineRule="atLeast"/>
        <w:jc w:val="right"/>
        <w:rPr>
          <w:rFonts w:ascii="宋体" w:hAnsi="宋体" w:eastAsia="宋体" w:cs="宋体"/>
          <w:color w:val="auto"/>
          <w:highlight w:val="none"/>
        </w:rPr>
      </w:pPr>
      <w:r>
        <w:rPr>
          <w:rFonts w:hint="eastAsia" w:ascii="宋体" w:hAnsi="宋体" w:eastAsia="宋体" w:cs="宋体"/>
          <w:color w:val="auto"/>
          <w:highlight w:val="none"/>
          <w:shd w:val="clear" w:color="auto" w:fill="FFFFFF"/>
        </w:rPr>
        <w:t>供应商代表（签字、捺印）：</w:t>
      </w:r>
      <w:r>
        <w:rPr>
          <w:rFonts w:hint="eastAsia" w:ascii="宋体" w:hAnsi="宋体" w:eastAsia="宋体" w:cs="宋体"/>
          <w:color w:val="auto"/>
          <w:highlight w:val="none"/>
          <w:u w:val="single"/>
          <w:shd w:val="clear" w:color="auto" w:fill="FFFFFF"/>
        </w:rPr>
        <w:t>        </w:t>
      </w:r>
    </w:p>
    <w:p w14:paraId="22D78D2E">
      <w:pPr>
        <w:pStyle w:val="15"/>
        <w:widowControl/>
        <w:spacing w:beforeAutospacing="0" w:afterAutospacing="0" w:line="480" w:lineRule="atLeast"/>
        <w:jc w:val="right"/>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日期：     年   月  日</w:t>
      </w:r>
    </w:p>
    <w:p w14:paraId="6941DD22">
      <w:pPr>
        <w:pStyle w:val="15"/>
        <w:widowControl/>
        <w:spacing w:beforeAutospacing="0" w:afterAutospacing="0" w:line="480" w:lineRule="exact"/>
        <w:jc w:val="center"/>
        <w:rPr>
          <w:rStyle w:val="22"/>
          <w:rFonts w:hint="eastAsia" w:ascii="宋体" w:hAnsi="宋体" w:eastAsia="宋体" w:cs="宋体"/>
          <w:bCs/>
          <w:color w:val="auto"/>
          <w:sz w:val="36"/>
          <w:szCs w:val="36"/>
          <w:highlight w:val="none"/>
          <w:shd w:val="clear" w:color="auto" w:fill="FFFFFF"/>
          <w:lang w:val="en-US" w:eastAsia="zh-CN"/>
        </w:rPr>
        <w:sectPr>
          <w:pgSz w:w="11906" w:h="16838"/>
          <w:pgMar w:top="1417" w:right="1417" w:bottom="1417" w:left="1417" w:header="851" w:footer="992" w:gutter="0"/>
          <w:cols w:space="0" w:num="1"/>
          <w:rtlGutter w:val="0"/>
          <w:docGrid w:type="lines" w:linePitch="312" w:charSpace="0"/>
        </w:sectPr>
      </w:pPr>
    </w:p>
    <w:p w14:paraId="23D2DF67">
      <w:pPr>
        <w:pStyle w:val="15"/>
        <w:widowControl/>
        <w:spacing w:beforeAutospacing="0" w:afterAutospacing="0" w:line="480" w:lineRule="exact"/>
        <w:jc w:val="center"/>
        <w:rPr>
          <w:rStyle w:val="22"/>
          <w:rFonts w:hint="eastAsia" w:ascii="宋体" w:hAnsi="宋体" w:eastAsia="宋体" w:cs="宋体"/>
          <w:bCs/>
          <w:color w:val="auto"/>
          <w:sz w:val="36"/>
          <w:szCs w:val="36"/>
          <w:highlight w:val="none"/>
          <w:shd w:val="clear" w:color="auto" w:fill="FFFFFF"/>
        </w:rPr>
      </w:pPr>
      <w:r>
        <w:rPr>
          <w:rStyle w:val="22"/>
          <w:rFonts w:hint="eastAsia" w:ascii="宋体" w:hAnsi="宋体" w:eastAsia="宋体" w:cs="宋体"/>
          <w:bCs/>
          <w:color w:val="auto"/>
          <w:sz w:val="36"/>
          <w:szCs w:val="36"/>
          <w:highlight w:val="none"/>
          <w:shd w:val="clear" w:color="auto" w:fill="FFFFFF"/>
          <w:lang w:val="en-US" w:eastAsia="zh-CN"/>
        </w:rPr>
        <w:t>谈判后最终分项报价</w:t>
      </w:r>
      <w:r>
        <w:rPr>
          <w:rStyle w:val="22"/>
          <w:rFonts w:hint="eastAsia" w:ascii="宋体" w:hAnsi="宋体" w:eastAsia="宋体" w:cs="宋体"/>
          <w:bCs/>
          <w:color w:val="auto"/>
          <w:sz w:val="36"/>
          <w:szCs w:val="36"/>
          <w:highlight w:val="none"/>
          <w:shd w:val="clear" w:color="auto" w:fill="FFFFFF"/>
        </w:rPr>
        <w:t>文件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889"/>
        <w:gridCol w:w="1252"/>
        <w:gridCol w:w="2372"/>
        <w:gridCol w:w="1700"/>
      </w:tblGrid>
      <w:tr w14:paraId="7C52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61F95060">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
                <w:bCs/>
                <w:color w:val="auto"/>
                <w:sz w:val="24"/>
                <w:szCs w:val="24"/>
                <w:highlight w:val="none"/>
                <w:shd w:val="clear" w:color="auto" w:fill="FFFFFF"/>
                <w:vertAlign w:val="baseline"/>
                <w:lang w:val="en-US" w:eastAsia="zh-CN"/>
              </w:rPr>
            </w:pPr>
            <w:r>
              <w:rPr>
                <w:rStyle w:val="22"/>
                <w:rFonts w:hint="eastAsia" w:ascii="宋体" w:hAnsi="宋体" w:eastAsia="宋体" w:cs="宋体"/>
                <w:b/>
                <w:bCs/>
                <w:color w:val="auto"/>
                <w:sz w:val="24"/>
                <w:szCs w:val="24"/>
                <w:highlight w:val="none"/>
                <w:shd w:val="clear" w:color="auto" w:fill="FFFFFF"/>
                <w:vertAlign w:val="baseline"/>
                <w:lang w:val="en-US" w:eastAsia="zh-CN"/>
              </w:rPr>
              <w:t>序号</w:t>
            </w:r>
          </w:p>
        </w:tc>
        <w:tc>
          <w:tcPr>
            <w:tcW w:w="2891" w:type="dxa"/>
          </w:tcPr>
          <w:p w14:paraId="02EC8BFA">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default" w:ascii="宋体" w:hAnsi="宋体" w:eastAsia="宋体" w:cs="宋体"/>
                <w:b/>
                <w:bCs/>
                <w:color w:val="auto"/>
                <w:sz w:val="24"/>
                <w:szCs w:val="24"/>
                <w:highlight w:val="none"/>
                <w:shd w:val="clear" w:color="auto" w:fill="FFFFFF"/>
                <w:vertAlign w:val="baseline"/>
                <w:lang w:val="en-US" w:eastAsia="zh-CN"/>
              </w:rPr>
            </w:pPr>
            <w:r>
              <w:rPr>
                <w:rStyle w:val="22"/>
                <w:rFonts w:hint="eastAsia" w:ascii="宋体" w:hAnsi="宋体" w:eastAsia="宋体" w:cs="宋体"/>
                <w:b/>
                <w:bCs/>
                <w:color w:val="auto"/>
                <w:sz w:val="24"/>
                <w:szCs w:val="24"/>
                <w:highlight w:val="none"/>
                <w:shd w:val="clear" w:color="auto" w:fill="FFFFFF"/>
                <w:vertAlign w:val="baseline"/>
                <w:lang w:val="en-US" w:eastAsia="zh-CN"/>
              </w:rPr>
              <w:t>报价内容</w:t>
            </w:r>
          </w:p>
        </w:tc>
        <w:tc>
          <w:tcPr>
            <w:tcW w:w="1253" w:type="dxa"/>
          </w:tcPr>
          <w:p w14:paraId="57E9FB9C">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
                <w:bCs/>
                <w:color w:val="auto"/>
                <w:sz w:val="24"/>
                <w:szCs w:val="24"/>
                <w:highlight w:val="none"/>
                <w:shd w:val="clear" w:color="auto" w:fill="FFFFFF"/>
                <w:vertAlign w:val="baseline"/>
              </w:rPr>
            </w:pPr>
            <w:r>
              <w:rPr>
                <w:rFonts w:hint="eastAsia" w:ascii="宋体" w:hAnsi="宋体" w:eastAsia="宋体" w:cs="宋体"/>
                <w:b/>
                <w:bCs/>
                <w:color w:val="auto"/>
                <w:sz w:val="24"/>
                <w:szCs w:val="24"/>
                <w:highlight w:val="none"/>
              </w:rPr>
              <w:t>数量</w:t>
            </w:r>
          </w:p>
        </w:tc>
        <w:tc>
          <w:tcPr>
            <w:tcW w:w="2373" w:type="dxa"/>
          </w:tcPr>
          <w:p w14:paraId="1912C522">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
                <w:bCs/>
                <w:color w:val="auto"/>
                <w:sz w:val="24"/>
                <w:szCs w:val="24"/>
                <w:highlight w:val="none"/>
                <w:shd w:val="clear" w:color="auto" w:fill="FFFFFF"/>
                <w:vertAlign w:val="baseline"/>
              </w:rPr>
            </w:pPr>
            <w:r>
              <w:rPr>
                <w:rFonts w:hint="eastAsia" w:ascii="宋体" w:hAnsi="宋体" w:eastAsia="宋体" w:cs="宋体"/>
                <w:b/>
                <w:bCs/>
                <w:color w:val="auto"/>
                <w:sz w:val="24"/>
                <w:szCs w:val="24"/>
                <w:highlight w:val="none"/>
              </w:rPr>
              <w:t>最终</w:t>
            </w:r>
            <w:r>
              <w:rPr>
                <w:rFonts w:hint="eastAsia" w:ascii="宋体" w:hAnsi="宋体" w:eastAsia="宋体" w:cs="宋体"/>
                <w:b/>
                <w:bCs/>
                <w:color w:val="auto"/>
                <w:sz w:val="24"/>
                <w:szCs w:val="24"/>
                <w:highlight w:val="none"/>
                <w:lang w:val="en-US" w:eastAsia="zh-CN"/>
              </w:rPr>
              <w:t>单价</w:t>
            </w:r>
            <w:r>
              <w:rPr>
                <w:rFonts w:hint="eastAsia" w:ascii="宋体" w:hAnsi="宋体" w:eastAsia="宋体" w:cs="宋体"/>
                <w:b/>
                <w:bCs/>
                <w:color w:val="auto"/>
                <w:sz w:val="24"/>
                <w:szCs w:val="24"/>
                <w:highlight w:val="none"/>
              </w:rPr>
              <w:t>报价（元）</w:t>
            </w:r>
          </w:p>
        </w:tc>
        <w:tc>
          <w:tcPr>
            <w:tcW w:w="1701" w:type="dxa"/>
          </w:tcPr>
          <w:p w14:paraId="1353223F">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
                <w:bCs/>
                <w:color w:val="auto"/>
                <w:sz w:val="24"/>
                <w:szCs w:val="24"/>
                <w:highlight w:val="none"/>
                <w:shd w:val="clear" w:color="auto" w:fill="FFFFFF"/>
                <w:vertAlign w:val="baseline"/>
                <w:lang w:val="en-US" w:eastAsia="zh-CN"/>
              </w:rPr>
            </w:pPr>
            <w:r>
              <w:rPr>
                <w:rStyle w:val="22"/>
                <w:rFonts w:hint="eastAsia" w:ascii="宋体" w:hAnsi="宋体" w:eastAsia="宋体" w:cs="宋体"/>
                <w:b/>
                <w:bCs/>
                <w:color w:val="auto"/>
                <w:sz w:val="24"/>
                <w:szCs w:val="24"/>
                <w:highlight w:val="none"/>
                <w:shd w:val="clear" w:color="auto" w:fill="FFFFFF"/>
                <w:vertAlign w:val="baseline"/>
                <w:lang w:val="en-US" w:eastAsia="zh-CN"/>
              </w:rPr>
              <w:t>备注</w:t>
            </w:r>
          </w:p>
        </w:tc>
      </w:tr>
      <w:tr w14:paraId="343C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27E1BE57">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lang w:val="en-US" w:eastAsia="zh-CN"/>
              </w:rPr>
            </w:pPr>
            <w:r>
              <w:rPr>
                <w:rStyle w:val="22"/>
                <w:rFonts w:hint="eastAsia" w:ascii="宋体" w:hAnsi="宋体" w:eastAsia="宋体" w:cs="宋体"/>
                <w:bCs/>
                <w:color w:val="auto"/>
                <w:sz w:val="24"/>
                <w:szCs w:val="24"/>
                <w:highlight w:val="none"/>
                <w:shd w:val="clear" w:color="auto" w:fill="FFFFFF"/>
                <w:vertAlign w:val="baseline"/>
                <w:lang w:val="en-US" w:eastAsia="zh-CN"/>
              </w:rPr>
              <w:t>1</w:t>
            </w:r>
          </w:p>
        </w:tc>
        <w:tc>
          <w:tcPr>
            <w:tcW w:w="2891" w:type="dxa"/>
          </w:tcPr>
          <w:p w14:paraId="07DD7A9C">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Fonts w:hint="eastAsia" w:ascii="宋体" w:hAnsi="宋体" w:eastAsia="宋体" w:cs="宋体"/>
                <w:b/>
                <w:bCs/>
                <w:color w:val="auto"/>
                <w:sz w:val="24"/>
                <w:szCs w:val="24"/>
                <w:highlight w:val="none"/>
                <w:lang w:val="en-US" w:eastAsia="zh-CN"/>
              </w:rPr>
              <w:t>系统测试</w:t>
            </w:r>
          </w:p>
        </w:tc>
        <w:tc>
          <w:tcPr>
            <w:tcW w:w="1253" w:type="dxa"/>
          </w:tcPr>
          <w:p w14:paraId="17318DE6">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default" w:ascii="宋体" w:hAnsi="宋体" w:eastAsia="宋体" w:cs="宋体"/>
                <w:bCs/>
                <w:color w:val="auto"/>
                <w:sz w:val="24"/>
                <w:szCs w:val="24"/>
                <w:highlight w:val="none"/>
                <w:shd w:val="clear" w:color="auto" w:fill="FFFFFF"/>
                <w:vertAlign w:val="baseline"/>
                <w:lang w:val="en-US" w:eastAsia="zh-CN"/>
              </w:rPr>
            </w:pPr>
            <w:r>
              <w:rPr>
                <w:rStyle w:val="22"/>
                <w:rFonts w:hint="eastAsia" w:ascii="宋体" w:hAnsi="宋体" w:eastAsia="宋体" w:cs="宋体"/>
                <w:bCs/>
                <w:color w:val="auto"/>
                <w:sz w:val="24"/>
                <w:szCs w:val="24"/>
                <w:highlight w:val="none"/>
                <w:shd w:val="clear" w:color="auto" w:fill="FFFFFF"/>
                <w:vertAlign w:val="baseline"/>
                <w:lang w:val="en-US" w:eastAsia="zh-CN"/>
              </w:rPr>
              <w:t>1项</w:t>
            </w:r>
          </w:p>
        </w:tc>
        <w:tc>
          <w:tcPr>
            <w:tcW w:w="2373" w:type="dxa"/>
          </w:tcPr>
          <w:p w14:paraId="5003273E">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c>
          <w:tcPr>
            <w:tcW w:w="1701" w:type="dxa"/>
          </w:tcPr>
          <w:p w14:paraId="0260C58E">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r>
      <w:tr w14:paraId="0561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1CF4898E">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lang w:val="en-US" w:eastAsia="zh-CN"/>
              </w:rPr>
            </w:pPr>
            <w:r>
              <w:rPr>
                <w:rStyle w:val="22"/>
                <w:rFonts w:hint="eastAsia" w:ascii="宋体" w:hAnsi="宋体" w:eastAsia="宋体" w:cs="宋体"/>
                <w:bCs/>
                <w:color w:val="auto"/>
                <w:sz w:val="24"/>
                <w:szCs w:val="24"/>
                <w:highlight w:val="none"/>
                <w:shd w:val="clear" w:color="auto" w:fill="FFFFFF"/>
                <w:vertAlign w:val="baseline"/>
                <w:lang w:val="en-US" w:eastAsia="zh-CN"/>
              </w:rPr>
              <w:t>2</w:t>
            </w:r>
          </w:p>
        </w:tc>
        <w:tc>
          <w:tcPr>
            <w:tcW w:w="2891" w:type="dxa"/>
          </w:tcPr>
          <w:p w14:paraId="4D9E17BA">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Fonts w:hint="eastAsia" w:ascii="宋体" w:hAnsi="宋体" w:eastAsia="宋体" w:cs="宋体"/>
                <w:b/>
                <w:bCs/>
                <w:color w:val="auto"/>
                <w:sz w:val="24"/>
                <w:szCs w:val="24"/>
                <w:highlight w:val="none"/>
                <w:lang w:val="en-US" w:eastAsia="zh-CN"/>
              </w:rPr>
              <w:t>网络安全等级保护测评</w:t>
            </w:r>
          </w:p>
        </w:tc>
        <w:tc>
          <w:tcPr>
            <w:tcW w:w="1253" w:type="dxa"/>
            <w:vAlign w:val="top"/>
          </w:tcPr>
          <w:p w14:paraId="38E31E73">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Style w:val="22"/>
                <w:rFonts w:hint="eastAsia" w:ascii="宋体" w:hAnsi="宋体" w:eastAsia="宋体" w:cs="宋体"/>
                <w:bCs/>
                <w:color w:val="auto"/>
                <w:sz w:val="24"/>
                <w:szCs w:val="24"/>
                <w:highlight w:val="none"/>
                <w:shd w:val="clear" w:color="auto" w:fill="FFFFFF"/>
                <w:vertAlign w:val="baseline"/>
                <w:lang w:val="en-US" w:eastAsia="zh-CN"/>
              </w:rPr>
              <w:t>1项</w:t>
            </w:r>
          </w:p>
        </w:tc>
        <w:tc>
          <w:tcPr>
            <w:tcW w:w="2373" w:type="dxa"/>
          </w:tcPr>
          <w:p w14:paraId="7776B3F8">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c>
          <w:tcPr>
            <w:tcW w:w="1701" w:type="dxa"/>
          </w:tcPr>
          <w:p w14:paraId="2EEE2B0C">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r>
      <w:tr w14:paraId="1908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6567EEF2">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lang w:val="en-US" w:eastAsia="zh-CN"/>
              </w:rPr>
            </w:pPr>
            <w:r>
              <w:rPr>
                <w:rStyle w:val="22"/>
                <w:rFonts w:hint="eastAsia" w:ascii="宋体" w:hAnsi="宋体" w:eastAsia="宋体" w:cs="宋体"/>
                <w:bCs/>
                <w:color w:val="auto"/>
                <w:sz w:val="24"/>
                <w:szCs w:val="24"/>
                <w:highlight w:val="none"/>
                <w:shd w:val="clear" w:color="auto" w:fill="FFFFFF"/>
                <w:vertAlign w:val="baseline"/>
                <w:lang w:val="en-US" w:eastAsia="zh-CN"/>
              </w:rPr>
              <w:t>3</w:t>
            </w:r>
          </w:p>
        </w:tc>
        <w:tc>
          <w:tcPr>
            <w:tcW w:w="2891" w:type="dxa"/>
          </w:tcPr>
          <w:p w14:paraId="460B140B">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Fonts w:hint="eastAsia" w:ascii="宋体" w:hAnsi="宋体" w:eastAsia="宋体" w:cs="宋体"/>
                <w:b/>
                <w:bCs/>
                <w:color w:val="auto"/>
                <w:sz w:val="24"/>
                <w:szCs w:val="24"/>
                <w:highlight w:val="none"/>
                <w:lang w:val="en-US" w:eastAsia="zh-CN"/>
              </w:rPr>
              <w:t>商用密码应用安全性评估</w:t>
            </w:r>
          </w:p>
        </w:tc>
        <w:tc>
          <w:tcPr>
            <w:tcW w:w="1253" w:type="dxa"/>
            <w:vAlign w:val="top"/>
          </w:tcPr>
          <w:p w14:paraId="563C0AB6">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Style w:val="22"/>
                <w:rFonts w:hint="eastAsia" w:ascii="宋体" w:hAnsi="宋体" w:eastAsia="宋体" w:cs="宋体"/>
                <w:bCs/>
                <w:color w:val="auto"/>
                <w:sz w:val="24"/>
                <w:szCs w:val="24"/>
                <w:highlight w:val="none"/>
                <w:shd w:val="clear" w:color="auto" w:fill="FFFFFF"/>
                <w:vertAlign w:val="baseline"/>
                <w:lang w:val="en-US" w:eastAsia="zh-CN"/>
              </w:rPr>
              <w:t>1项</w:t>
            </w:r>
          </w:p>
        </w:tc>
        <w:tc>
          <w:tcPr>
            <w:tcW w:w="2373" w:type="dxa"/>
          </w:tcPr>
          <w:p w14:paraId="39541158">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c>
          <w:tcPr>
            <w:tcW w:w="1701" w:type="dxa"/>
          </w:tcPr>
          <w:p w14:paraId="39CC41A0">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r>
      <w:tr w14:paraId="497E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7D5A1B08">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lang w:val="en-US" w:eastAsia="zh-CN"/>
              </w:rPr>
            </w:pPr>
            <w:r>
              <w:rPr>
                <w:rStyle w:val="22"/>
                <w:rFonts w:hint="eastAsia" w:ascii="宋体" w:hAnsi="宋体" w:eastAsia="宋体" w:cs="宋体"/>
                <w:bCs/>
                <w:color w:val="auto"/>
                <w:sz w:val="24"/>
                <w:szCs w:val="24"/>
                <w:highlight w:val="none"/>
                <w:shd w:val="clear" w:color="auto" w:fill="FFFFFF"/>
                <w:vertAlign w:val="baseline"/>
                <w:lang w:val="en-US" w:eastAsia="zh-CN"/>
              </w:rPr>
              <w:t>4</w:t>
            </w:r>
          </w:p>
        </w:tc>
        <w:tc>
          <w:tcPr>
            <w:tcW w:w="2891" w:type="dxa"/>
          </w:tcPr>
          <w:p w14:paraId="75AC1ED9">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Fonts w:hint="eastAsia" w:ascii="宋体" w:hAnsi="宋体" w:eastAsia="宋体" w:cs="宋体"/>
                <w:b/>
                <w:bCs/>
                <w:sz w:val="24"/>
                <w:szCs w:val="24"/>
                <w:highlight w:val="none"/>
                <w:lang w:val="en-US" w:eastAsia="zh-CN"/>
              </w:rPr>
              <w:t>信创符合性测试</w:t>
            </w:r>
          </w:p>
        </w:tc>
        <w:tc>
          <w:tcPr>
            <w:tcW w:w="1253" w:type="dxa"/>
            <w:vAlign w:val="top"/>
          </w:tcPr>
          <w:p w14:paraId="1DB48242">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r>
              <w:rPr>
                <w:rStyle w:val="22"/>
                <w:rFonts w:hint="eastAsia" w:ascii="宋体" w:hAnsi="宋体" w:eastAsia="宋体" w:cs="宋体"/>
                <w:bCs/>
                <w:color w:val="auto"/>
                <w:sz w:val="24"/>
                <w:szCs w:val="24"/>
                <w:highlight w:val="none"/>
                <w:shd w:val="clear" w:color="auto" w:fill="FFFFFF"/>
                <w:vertAlign w:val="baseline"/>
                <w:lang w:val="en-US" w:eastAsia="zh-CN"/>
              </w:rPr>
              <w:t>1项</w:t>
            </w:r>
          </w:p>
        </w:tc>
        <w:tc>
          <w:tcPr>
            <w:tcW w:w="2373" w:type="dxa"/>
          </w:tcPr>
          <w:p w14:paraId="71036B13">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c>
          <w:tcPr>
            <w:tcW w:w="1701" w:type="dxa"/>
          </w:tcPr>
          <w:p w14:paraId="727A5363">
            <w:pPr>
              <w:pStyle w:val="15"/>
              <w:keepNext w:val="0"/>
              <w:keepLines w:val="0"/>
              <w:pageBreakBefore w:val="0"/>
              <w:widowControl w:val="0"/>
              <w:kinsoku/>
              <w:wordWrap/>
              <w:overflowPunct/>
              <w:topLinePunct w:val="0"/>
              <w:autoSpaceDE/>
              <w:autoSpaceDN/>
              <w:bidi w:val="0"/>
              <w:adjustRightInd/>
              <w:snapToGrid/>
              <w:spacing w:beforeAutospacing="0" w:afterAutospacing="0" w:line="480" w:lineRule="exact"/>
              <w:jc w:val="both"/>
              <w:textAlignment w:val="auto"/>
              <w:rPr>
                <w:rStyle w:val="22"/>
                <w:rFonts w:hint="eastAsia" w:ascii="宋体" w:hAnsi="宋体" w:eastAsia="宋体" w:cs="宋体"/>
                <w:bCs/>
                <w:color w:val="auto"/>
                <w:sz w:val="24"/>
                <w:szCs w:val="24"/>
                <w:highlight w:val="none"/>
                <w:shd w:val="clear" w:color="auto" w:fill="FFFFFF"/>
                <w:vertAlign w:val="baseline"/>
              </w:rPr>
            </w:pPr>
          </w:p>
        </w:tc>
      </w:tr>
    </w:tbl>
    <w:p w14:paraId="155F4519">
      <w:pPr>
        <w:pStyle w:val="15"/>
        <w:widowControl/>
        <w:spacing w:beforeAutospacing="0" w:afterAutospacing="0" w:line="480" w:lineRule="exact"/>
        <w:jc w:val="right"/>
        <w:rPr>
          <w:rFonts w:hint="eastAsia" w:ascii="宋体" w:hAnsi="宋体" w:eastAsia="宋体" w:cs="宋体"/>
          <w:color w:val="auto"/>
          <w:highlight w:val="none"/>
          <w:shd w:val="clear" w:color="auto" w:fill="FFFFFF"/>
        </w:rPr>
      </w:pPr>
    </w:p>
    <w:p w14:paraId="095DCF84">
      <w:pPr>
        <w:pStyle w:val="15"/>
        <w:widowControl/>
        <w:spacing w:beforeAutospacing="0" w:afterAutospacing="0" w:line="480" w:lineRule="exact"/>
        <w:jc w:val="right"/>
        <w:rPr>
          <w:rFonts w:hint="eastAsia" w:ascii="宋体" w:hAnsi="宋体" w:eastAsia="宋体" w:cs="宋体"/>
          <w:color w:val="auto"/>
          <w:highlight w:val="none"/>
          <w:u w:val="single"/>
          <w:shd w:val="clear" w:color="auto" w:fill="FFFFFF"/>
        </w:rPr>
      </w:pPr>
      <w:r>
        <w:rPr>
          <w:rFonts w:hint="eastAsia" w:ascii="宋体" w:hAnsi="宋体" w:eastAsia="宋体" w:cs="宋体"/>
          <w:color w:val="auto"/>
          <w:highlight w:val="none"/>
          <w:shd w:val="clear" w:color="auto" w:fill="FFFFFF"/>
        </w:rPr>
        <w:t>供应商名称：</w:t>
      </w:r>
      <w:r>
        <w:rPr>
          <w:rFonts w:hint="eastAsia" w:ascii="宋体" w:hAnsi="宋体" w:eastAsia="宋体" w:cs="宋体"/>
          <w:color w:val="auto"/>
          <w:highlight w:val="none"/>
          <w:u w:val="single"/>
          <w:shd w:val="clear" w:color="auto" w:fill="FFFFFF"/>
        </w:rPr>
        <w:t>               </w:t>
      </w:r>
    </w:p>
    <w:p w14:paraId="5504A6F5">
      <w:pPr>
        <w:pStyle w:val="15"/>
        <w:widowControl/>
        <w:spacing w:beforeAutospacing="0" w:afterAutospacing="0" w:line="480" w:lineRule="atLeast"/>
        <w:jc w:val="right"/>
        <w:rPr>
          <w:rFonts w:ascii="宋体" w:hAnsi="宋体" w:eastAsia="宋体" w:cs="宋体"/>
          <w:color w:val="auto"/>
          <w:highlight w:val="none"/>
        </w:rPr>
      </w:pPr>
      <w:r>
        <w:rPr>
          <w:rFonts w:hint="eastAsia" w:ascii="宋体" w:hAnsi="宋体" w:eastAsia="宋体" w:cs="宋体"/>
          <w:color w:val="auto"/>
          <w:highlight w:val="none"/>
          <w:shd w:val="clear" w:color="auto" w:fill="FFFFFF"/>
        </w:rPr>
        <w:t>供应商代表（签字、捺印）：</w:t>
      </w:r>
      <w:r>
        <w:rPr>
          <w:rFonts w:hint="eastAsia" w:ascii="宋体" w:hAnsi="宋体" w:eastAsia="宋体" w:cs="宋体"/>
          <w:color w:val="auto"/>
          <w:highlight w:val="none"/>
          <w:u w:val="single"/>
          <w:shd w:val="clear" w:color="auto" w:fill="FFFFFF"/>
        </w:rPr>
        <w:t>        </w:t>
      </w:r>
    </w:p>
    <w:p w14:paraId="7A26469F">
      <w:pPr>
        <w:pStyle w:val="15"/>
        <w:widowControl/>
        <w:spacing w:beforeAutospacing="0" w:afterAutospacing="0" w:line="480" w:lineRule="atLeast"/>
        <w:jc w:val="right"/>
        <w:rPr>
          <w:rStyle w:val="22"/>
          <w:rFonts w:hint="eastAsia" w:ascii="宋体" w:hAnsi="宋体" w:eastAsia="宋体" w:cs="宋体"/>
          <w:bCs/>
          <w:color w:val="auto"/>
          <w:sz w:val="36"/>
          <w:szCs w:val="36"/>
          <w:highlight w:val="none"/>
          <w:shd w:val="clear" w:color="auto" w:fill="FFFFFF"/>
        </w:rPr>
      </w:pPr>
      <w:r>
        <w:rPr>
          <w:rFonts w:hint="eastAsia" w:ascii="宋体" w:hAnsi="宋体" w:eastAsia="宋体" w:cs="宋体"/>
          <w:color w:val="auto"/>
          <w:highlight w:val="none"/>
          <w:shd w:val="clear" w:color="auto" w:fill="FFFFFF"/>
        </w:rPr>
        <w:t>日期：     年   月  日</w:t>
      </w:r>
    </w:p>
    <w:p w14:paraId="476589C6">
      <w:pPr>
        <w:pStyle w:val="15"/>
        <w:widowControl/>
        <w:spacing w:beforeAutospacing="0" w:afterAutospacing="0" w:line="480" w:lineRule="exact"/>
        <w:jc w:val="center"/>
        <w:rPr>
          <w:rStyle w:val="22"/>
          <w:rFonts w:hint="eastAsia" w:ascii="宋体" w:hAnsi="宋体" w:eastAsia="宋体" w:cs="宋体"/>
          <w:bCs/>
          <w:color w:val="auto"/>
          <w:sz w:val="36"/>
          <w:szCs w:val="36"/>
          <w:highlight w:val="none"/>
          <w:shd w:val="clear" w:color="auto" w:fill="FFFFFF"/>
        </w:rPr>
        <w:sectPr>
          <w:pgSz w:w="11906" w:h="16838"/>
          <w:pgMar w:top="1417" w:right="1417" w:bottom="1417" w:left="1417" w:header="851" w:footer="992" w:gutter="0"/>
          <w:cols w:space="0" w:num="1"/>
          <w:rtlGutter w:val="0"/>
          <w:docGrid w:type="lines" w:linePitch="312" w:charSpace="0"/>
        </w:sectPr>
      </w:pPr>
    </w:p>
    <w:p w14:paraId="3EC98A40">
      <w:pPr>
        <w:pStyle w:val="15"/>
        <w:spacing w:beforeAutospacing="0" w:afterAutospacing="0" w:line="440" w:lineRule="exact"/>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rPr>
        <w:t>附件</w:t>
      </w:r>
      <w:r>
        <w:rPr>
          <w:rFonts w:hint="eastAsia" w:ascii="宋体" w:hAnsi="宋体" w:eastAsia="宋体" w:cs="宋体"/>
          <w:bCs/>
          <w:color w:val="auto"/>
          <w:highlight w:val="none"/>
          <w:lang w:val="en-US" w:eastAsia="zh-CN"/>
        </w:rPr>
        <w:t>二：</w:t>
      </w:r>
    </w:p>
    <w:p w14:paraId="709C4981">
      <w:pPr>
        <w:pStyle w:val="15"/>
        <w:widowControl/>
        <w:spacing w:beforeAutospacing="0" w:afterAutospacing="0" w:line="480" w:lineRule="exact"/>
        <w:jc w:val="center"/>
        <w:rPr>
          <w:rStyle w:val="22"/>
          <w:rFonts w:hint="default" w:ascii="宋体" w:hAnsi="宋体" w:eastAsia="宋体" w:cs="宋体"/>
          <w:bCs/>
          <w:color w:val="auto"/>
          <w:sz w:val="36"/>
          <w:szCs w:val="36"/>
          <w:highlight w:val="none"/>
          <w:shd w:val="clear" w:color="auto" w:fill="FFFFFF"/>
          <w:lang w:val="en-US" w:eastAsia="zh-CN"/>
        </w:rPr>
      </w:pPr>
      <w:r>
        <w:rPr>
          <w:rStyle w:val="22"/>
          <w:rFonts w:hint="eastAsia" w:ascii="宋体" w:hAnsi="宋体" w:eastAsia="宋体" w:cs="宋体"/>
          <w:bCs/>
          <w:color w:val="auto"/>
          <w:sz w:val="36"/>
          <w:szCs w:val="36"/>
          <w:highlight w:val="none"/>
          <w:shd w:val="clear" w:color="auto" w:fill="FFFFFF"/>
          <w:lang w:val="en-US" w:eastAsia="zh-CN"/>
        </w:rPr>
        <w:t>测试、测评机构公正性承诺</w:t>
      </w:r>
    </w:p>
    <w:p w14:paraId="30167B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为了保持本公司</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测评工作的公正性</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保证用科学的方法出具准确、可靠的</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测评结果</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特作如下</w:t>
      </w:r>
      <w:r>
        <w:rPr>
          <w:rFonts w:hint="eastAsia" w:ascii="仿宋_GB2312" w:hAnsi="仿宋_GB2312" w:eastAsia="仿宋_GB2312" w:cs="仿宋_GB2312"/>
          <w:sz w:val="28"/>
          <w:szCs w:val="28"/>
          <w:highlight w:val="none"/>
          <w:lang w:val="en-US" w:eastAsia="zh-CN"/>
        </w:rPr>
        <w:t>承诺</w:t>
      </w:r>
      <w:r>
        <w:rPr>
          <w:rFonts w:hint="eastAsia" w:ascii="仿宋_GB2312" w:hAnsi="仿宋_GB2312" w:eastAsia="仿宋_GB2312" w:cs="仿宋_GB2312"/>
          <w:sz w:val="28"/>
          <w:szCs w:val="28"/>
          <w:highlight w:val="none"/>
          <w:lang w:eastAsia="zh-CN"/>
        </w:rPr>
        <w:t>：</w:t>
      </w:r>
    </w:p>
    <w:p w14:paraId="59A3BE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1.本公司作为</w:t>
      </w:r>
      <w:r>
        <w:rPr>
          <w:rFonts w:hint="eastAsia" w:ascii="仿宋_GB2312" w:hAnsi="仿宋_GB2312" w:eastAsia="仿宋_GB2312" w:cs="仿宋_GB2312"/>
          <w:sz w:val="28"/>
          <w:szCs w:val="28"/>
          <w:highlight w:val="none"/>
          <w:u w:val="single"/>
          <w:lang w:val="en-US" w:eastAsia="zh-CN"/>
        </w:rPr>
        <w:t>福建省病犯监狱（福建省建新医院）一标段智能化系统采购项目配套测试测评服务项目</w:t>
      </w:r>
      <w:r>
        <w:rPr>
          <w:rFonts w:hint="eastAsia" w:ascii="仿宋_GB2312" w:hAnsi="仿宋_GB2312" w:eastAsia="仿宋_GB2312" w:cs="仿宋_GB2312"/>
          <w:sz w:val="28"/>
          <w:szCs w:val="28"/>
          <w:highlight w:val="none"/>
          <w:lang w:val="en-US" w:eastAsia="zh-CN"/>
        </w:rPr>
        <w:t>的测试测评</w:t>
      </w:r>
      <w:r>
        <w:rPr>
          <w:rFonts w:hint="eastAsia" w:ascii="仿宋_GB2312" w:hAnsi="仿宋_GB2312" w:eastAsia="仿宋_GB2312" w:cs="仿宋_GB2312"/>
          <w:sz w:val="28"/>
          <w:szCs w:val="28"/>
          <w:highlight w:val="none"/>
        </w:rPr>
        <w:t>机构</w:t>
      </w:r>
      <w:r>
        <w:rPr>
          <w:rFonts w:hint="eastAsia" w:ascii="仿宋_GB2312" w:hAnsi="仿宋_GB2312" w:eastAsia="仿宋_GB2312" w:cs="仿宋_GB2312"/>
          <w:sz w:val="28"/>
          <w:szCs w:val="28"/>
          <w:highlight w:val="none"/>
          <w:lang w:val="en-US" w:eastAsia="zh-CN"/>
        </w:rPr>
        <w:t>，从事</w:t>
      </w:r>
      <w:r>
        <w:rPr>
          <w:rFonts w:hint="eastAsia" w:ascii="仿宋_GB2312" w:hAnsi="仿宋_GB2312" w:eastAsia="仿宋_GB2312" w:cs="仿宋_GB2312"/>
          <w:sz w:val="28"/>
          <w:szCs w:val="28"/>
          <w:highlight w:val="none"/>
          <w:u w:val="single"/>
          <w:lang w:val="en-US" w:eastAsia="zh-CN"/>
        </w:rPr>
        <w:t>（系统测试、网络安全等级保护测评、密码应用安全性评估、信创符合性测试）</w:t>
      </w:r>
      <w:r>
        <w:rPr>
          <w:rFonts w:hint="eastAsia" w:ascii="仿宋_GB2312" w:hAnsi="仿宋_GB2312" w:eastAsia="仿宋_GB2312" w:cs="仿宋_GB2312"/>
          <w:sz w:val="28"/>
          <w:szCs w:val="28"/>
          <w:highlight w:val="none"/>
          <w:lang w:val="en-US" w:eastAsia="zh-CN"/>
        </w:rPr>
        <w:t>相关内容工作</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独立于所涉及的各方</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对任何</w:t>
      </w:r>
      <w:r>
        <w:rPr>
          <w:rFonts w:hint="eastAsia" w:ascii="仿宋_GB2312" w:hAnsi="仿宋_GB2312" w:eastAsia="仿宋_GB2312" w:cs="仿宋_GB2312"/>
          <w:sz w:val="28"/>
          <w:szCs w:val="28"/>
          <w:highlight w:val="none"/>
          <w:lang w:val="en-US" w:eastAsia="zh-CN"/>
        </w:rPr>
        <w:t>第三方</w:t>
      </w:r>
      <w:r>
        <w:rPr>
          <w:rFonts w:hint="eastAsia" w:ascii="仿宋_GB2312" w:hAnsi="仿宋_GB2312" w:eastAsia="仿宋_GB2312" w:cs="仿宋_GB2312"/>
          <w:sz w:val="28"/>
          <w:szCs w:val="28"/>
          <w:highlight w:val="none"/>
        </w:rPr>
        <w:t>均持公正态度</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一视同仁</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保持相同的工作质量</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对</w:t>
      </w:r>
      <w:r>
        <w:rPr>
          <w:rFonts w:hint="eastAsia" w:ascii="仿宋_GB2312" w:hAnsi="仿宋_GB2312" w:eastAsia="仿宋_GB2312" w:cs="仿宋_GB2312"/>
          <w:sz w:val="28"/>
          <w:szCs w:val="28"/>
          <w:highlight w:val="none"/>
          <w:lang w:val="en-US" w:eastAsia="zh-CN"/>
        </w:rPr>
        <w:t>我司测试</w:t>
      </w:r>
      <w:r>
        <w:rPr>
          <w:rFonts w:hint="eastAsia" w:ascii="仿宋_GB2312" w:hAnsi="仿宋_GB2312" w:eastAsia="仿宋_GB2312" w:cs="仿宋_GB2312"/>
          <w:sz w:val="28"/>
          <w:szCs w:val="28"/>
          <w:highlight w:val="none"/>
        </w:rPr>
        <w:t>测评活动的公正性负责</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且不允许来自商业、财务或其他方面的压力影响</w:t>
      </w:r>
      <w:r>
        <w:rPr>
          <w:rFonts w:hint="eastAsia" w:ascii="仿宋_GB2312" w:hAnsi="仿宋_GB2312" w:eastAsia="仿宋_GB2312" w:cs="仿宋_GB2312"/>
          <w:sz w:val="28"/>
          <w:szCs w:val="28"/>
          <w:highlight w:val="none"/>
          <w:lang w:val="en-US" w:eastAsia="zh-CN"/>
        </w:rPr>
        <w:t>服务</w:t>
      </w:r>
      <w:r>
        <w:rPr>
          <w:rFonts w:hint="eastAsia" w:ascii="仿宋_GB2312" w:hAnsi="仿宋_GB2312" w:eastAsia="仿宋_GB2312" w:cs="仿宋_GB2312"/>
          <w:sz w:val="28"/>
          <w:szCs w:val="28"/>
          <w:highlight w:val="none"/>
        </w:rPr>
        <w:t>公正性</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不受任何势力的干扰和经济方面的诱惑</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保证</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测评工作的独立性</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诚实性及测评结论的公正性。</w:t>
      </w:r>
    </w:p>
    <w:p w14:paraId="2C6BB6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2.本公司依据现行有效的国家标准和</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测评规范</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选用先进的</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测评工具</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确保</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测评方法的科学性</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测评数据的准确性。</w:t>
      </w:r>
    </w:p>
    <w:p w14:paraId="019906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3.本公司的所有人员行为公正</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工作合规</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包括但不限于管理人员、技术人员或其他相关人员。</w:t>
      </w:r>
    </w:p>
    <w:p w14:paraId="356F61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4.本公司不利用被测软</w:t>
      </w:r>
      <w:r>
        <w:rPr>
          <w:rFonts w:hint="eastAsia" w:ascii="仿宋_GB2312" w:hAnsi="仿宋_GB2312" w:eastAsia="仿宋_GB2312" w:cs="仿宋_GB2312"/>
          <w:sz w:val="28"/>
          <w:szCs w:val="28"/>
          <w:highlight w:val="none"/>
          <w:lang w:val="en-US" w:eastAsia="zh-CN"/>
        </w:rPr>
        <w:t>硬</w:t>
      </w:r>
      <w:r>
        <w:rPr>
          <w:rFonts w:hint="eastAsia" w:ascii="仿宋_GB2312" w:hAnsi="仿宋_GB2312" w:eastAsia="仿宋_GB2312" w:cs="仿宋_GB2312"/>
          <w:sz w:val="28"/>
          <w:szCs w:val="28"/>
          <w:highlight w:val="none"/>
        </w:rPr>
        <w:t>件相关方的知识产权牟取利益。</w:t>
      </w:r>
    </w:p>
    <w:p w14:paraId="225A88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5.本公司及</w:t>
      </w:r>
      <w:r>
        <w:rPr>
          <w:rFonts w:hint="eastAsia" w:ascii="仿宋_GB2312" w:hAnsi="仿宋_GB2312" w:eastAsia="仿宋_GB2312" w:cs="仿宋_GB2312"/>
          <w:sz w:val="28"/>
          <w:szCs w:val="28"/>
          <w:highlight w:val="none"/>
          <w:lang w:val="en-US" w:eastAsia="zh-CN"/>
        </w:rPr>
        <w:t>所属</w:t>
      </w:r>
      <w:r>
        <w:rPr>
          <w:rFonts w:hint="eastAsia" w:ascii="仿宋_GB2312" w:hAnsi="仿宋_GB2312" w:eastAsia="仿宋_GB2312" w:cs="仿宋_GB2312"/>
          <w:sz w:val="28"/>
          <w:szCs w:val="28"/>
          <w:highlight w:val="none"/>
        </w:rPr>
        <w:t>人员</w:t>
      </w:r>
      <w:r>
        <w:rPr>
          <w:rFonts w:hint="eastAsia" w:ascii="仿宋_GB2312" w:hAnsi="仿宋_GB2312" w:eastAsia="仿宋_GB2312" w:cs="仿宋_GB2312"/>
          <w:sz w:val="28"/>
          <w:szCs w:val="28"/>
          <w:highlight w:val="none"/>
          <w:lang w:val="en-US" w:eastAsia="zh-CN"/>
        </w:rPr>
        <w:t>承诺</w:t>
      </w:r>
      <w:r>
        <w:rPr>
          <w:rFonts w:hint="eastAsia" w:ascii="仿宋_GB2312" w:hAnsi="仿宋_GB2312" w:eastAsia="仿宋_GB2312" w:cs="仿宋_GB2312"/>
          <w:sz w:val="28"/>
          <w:szCs w:val="28"/>
          <w:highlight w:val="none"/>
        </w:rPr>
        <w:t>不从事任何可能违背</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w:t>
      </w:r>
      <w:r>
        <w:rPr>
          <w:rFonts w:hint="eastAsia" w:ascii="仿宋_GB2312" w:hAnsi="仿宋_GB2312" w:eastAsia="仿宋_GB2312" w:cs="仿宋_GB2312"/>
          <w:sz w:val="28"/>
          <w:szCs w:val="28"/>
          <w:highlight w:val="none"/>
          <w:lang w:val="en-US" w:eastAsia="zh-CN"/>
        </w:rPr>
        <w:t>工作</w:t>
      </w:r>
      <w:r>
        <w:rPr>
          <w:rFonts w:hint="eastAsia" w:ascii="仿宋_GB2312" w:hAnsi="仿宋_GB2312" w:eastAsia="仿宋_GB2312" w:cs="仿宋_GB2312"/>
          <w:sz w:val="28"/>
          <w:szCs w:val="28"/>
          <w:highlight w:val="none"/>
        </w:rPr>
        <w:t>判断的独立性和完整性的活动。尤其不从事</w:t>
      </w:r>
      <w:r>
        <w:rPr>
          <w:rFonts w:hint="eastAsia" w:ascii="仿宋_GB2312" w:hAnsi="仿宋_GB2312" w:eastAsia="仿宋_GB2312" w:cs="仿宋_GB2312"/>
          <w:sz w:val="28"/>
          <w:szCs w:val="28"/>
          <w:highlight w:val="none"/>
          <w:lang w:val="en-US" w:eastAsia="zh-CN"/>
        </w:rPr>
        <w:t>测试</w:t>
      </w:r>
      <w:r>
        <w:rPr>
          <w:rFonts w:hint="eastAsia" w:ascii="仿宋_GB2312" w:hAnsi="仿宋_GB2312" w:eastAsia="仿宋_GB2312" w:cs="仿宋_GB2312"/>
          <w:sz w:val="28"/>
          <w:szCs w:val="28"/>
          <w:highlight w:val="none"/>
        </w:rPr>
        <w:t>测评对象的设计、销售、生产、安装、采购、拥有、使用或维护。</w:t>
      </w:r>
    </w:p>
    <w:p w14:paraId="64C345A9">
      <w:pPr>
        <w:keepNext w:val="0"/>
        <w:keepLines w:val="0"/>
        <w:pageBreakBefore w:val="0"/>
        <w:widowControl w:val="0"/>
        <w:kinsoku/>
        <w:wordWrap/>
        <w:overflowPunct/>
        <w:topLinePunct w:val="0"/>
        <w:autoSpaceDE/>
        <w:autoSpaceDN/>
        <w:bidi w:val="0"/>
        <w:adjustRightInd/>
        <w:snapToGrid/>
        <w:ind w:right="0" w:rightChars="0" w:firstLine="0" w:firstLineChars="0"/>
        <w:jc w:val="right"/>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测试测评公司名称（盖章）</w:t>
      </w:r>
    </w:p>
    <w:p w14:paraId="32D4F565">
      <w:pPr>
        <w:keepNext w:val="0"/>
        <w:keepLines w:val="0"/>
        <w:pageBreakBefore w:val="0"/>
        <w:widowControl w:val="0"/>
        <w:kinsoku/>
        <w:wordWrap/>
        <w:overflowPunct/>
        <w:topLinePunct w:val="0"/>
        <w:autoSpaceDE/>
        <w:autoSpaceDN/>
        <w:bidi w:val="0"/>
        <w:adjustRightInd/>
        <w:snapToGrid/>
        <w:ind w:right="0" w:rightChars="0" w:firstLine="0" w:firstLineChars="0"/>
        <w:jc w:val="right"/>
        <w:textAlignment w:val="auto"/>
        <w:rPr>
          <w:rFonts w:ascii="宋体" w:hAnsi="宋体" w:eastAsia="宋体" w:cs="宋体"/>
          <w:bCs/>
          <w:color w:val="auto"/>
          <w:sz w:val="28"/>
          <w:szCs w:val="28"/>
          <w:highlight w:val="none"/>
        </w:rPr>
      </w:pPr>
      <w:r>
        <w:rPr>
          <w:rFonts w:hint="eastAsia" w:ascii="仿宋_GB2312" w:hAnsi="仿宋_GB2312" w:eastAsia="仿宋_GB2312" w:cs="仿宋_GB2312"/>
          <w:sz w:val="28"/>
          <w:szCs w:val="28"/>
          <w:highlight w:val="none"/>
          <w:lang w:val="en-US" w:eastAsia="zh-CN"/>
        </w:rPr>
        <w:t>年   月   日</w:t>
      </w:r>
    </w:p>
    <w:p w14:paraId="2F51D45D">
      <w:pPr>
        <w:rPr>
          <w:rFonts w:hint="eastAsia" w:ascii="宋体" w:hAnsi="宋体" w:eastAsia="宋体" w:cs="宋体"/>
          <w:color w:val="auto"/>
          <w:sz w:val="28"/>
          <w:szCs w:val="28"/>
          <w:highlight w:val="none"/>
          <w:shd w:val="clear" w:color="auto" w:fill="FFFFFF"/>
        </w:rPr>
        <w:sectPr>
          <w:pgSz w:w="11906" w:h="16838"/>
          <w:pgMar w:top="1417" w:right="1417" w:bottom="1417" w:left="1417" w:header="851" w:footer="992" w:gutter="0"/>
          <w:cols w:space="0" w:num="1"/>
          <w:rtlGutter w:val="0"/>
          <w:docGrid w:type="lines" w:linePitch="312" w:charSpace="0"/>
        </w:sectPr>
      </w:pPr>
    </w:p>
    <w:p w14:paraId="29DBB11B">
      <w:pPr>
        <w:pStyle w:val="31"/>
        <w:jc w:val="center"/>
        <w:outlineLvl w:val="0"/>
        <w:rPr>
          <w:rFonts w:hint="default" w:ascii="宋体" w:hAnsi="宋体" w:eastAsia="宋体" w:cs="宋体"/>
          <w:b/>
          <w:color w:val="auto"/>
          <w:sz w:val="36"/>
          <w:highlight w:val="none"/>
        </w:rPr>
      </w:pPr>
      <w:bookmarkStart w:id="7" w:name="_Toc19223"/>
      <w:r>
        <w:rPr>
          <w:rFonts w:ascii="宋体" w:hAnsi="宋体" w:eastAsia="宋体" w:cs="宋体"/>
          <w:b/>
          <w:color w:val="auto"/>
          <w:sz w:val="36"/>
          <w:highlight w:val="none"/>
        </w:rPr>
        <w:t>第四章  合同主要条款及格式</w:t>
      </w:r>
      <w:bookmarkEnd w:id="7"/>
    </w:p>
    <w:p w14:paraId="7FCEDFF8">
      <w:pPr>
        <w:pStyle w:val="31"/>
        <w:jc w:val="both"/>
        <w:outlineLvl w:val="9"/>
        <w:rPr>
          <w:rFonts w:ascii="宋体" w:hAnsi="宋体" w:eastAsia="宋体" w:cs="宋体"/>
          <w:b/>
          <w:color w:val="auto"/>
          <w:sz w:val="36"/>
          <w:highlight w:val="none"/>
        </w:rPr>
      </w:pPr>
      <w:bookmarkStart w:id="8" w:name="_Toc2289"/>
    </w:p>
    <w:p w14:paraId="795487E6">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b w:val="0"/>
          <w:bCs/>
          <w:sz w:val="36"/>
          <w:szCs w:val="36"/>
          <w:highlight w:val="none"/>
        </w:rPr>
      </w:pPr>
      <w:r>
        <w:rPr>
          <w:rFonts w:hint="eastAsia" w:ascii="微软雅黑" w:hAnsi="微软雅黑" w:eastAsia="微软雅黑" w:cs="微软雅黑"/>
          <w:b w:val="0"/>
          <w:bCs/>
          <w:sz w:val="36"/>
          <w:szCs w:val="36"/>
          <w:highlight w:val="none"/>
          <w:lang w:eastAsia="zh-CN"/>
        </w:rPr>
        <w:t>福建省病犯监狱（福建省建新医院）一标段智能化系统采购项目配套测试测评服务项目</w:t>
      </w:r>
      <w:r>
        <w:rPr>
          <w:rFonts w:hint="eastAsia" w:ascii="微软雅黑" w:hAnsi="微软雅黑" w:eastAsia="微软雅黑" w:cs="微软雅黑"/>
          <w:b w:val="0"/>
          <w:bCs/>
          <w:sz w:val="36"/>
          <w:szCs w:val="36"/>
          <w:highlight w:val="none"/>
        </w:rPr>
        <w:t>采购合同</w:t>
      </w:r>
    </w:p>
    <w:p w14:paraId="602240DB">
      <w:pPr>
        <w:spacing w:line="460" w:lineRule="exact"/>
        <w:ind w:firstLine="560" w:firstLineChars="200"/>
        <w:rPr>
          <w:rFonts w:hint="eastAsia" w:ascii="仿宋_GB2312" w:hAnsi="仿宋_GB2312" w:cs="仿宋_GB2312"/>
          <w:sz w:val="28"/>
          <w:szCs w:val="28"/>
          <w:highlight w:val="none"/>
        </w:rPr>
      </w:pPr>
    </w:p>
    <w:p w14:paraId="34ABB1A1">
      <w:pPr>
        <w:pStyle w:val="15"/>
        <w:keepNext w:val="0"/>
        <w:keepLines w:val="0"/>
        <w:pageBreakBefore w:val="0"/>
        <w:widowControl w:val="0"/>
        <w:kinsoku/>
        <w:wordWrap/>
        <w:overflowPunct/>
        <w:topLinePunct w:val="0"/>
        <w:autoSpaceDE/>
        <w:autoSpaceDN/>
        <w:bidi w:val="0"/>
        <w:spacing w:beforeAutospacing="0" w:afterAutospacing="0" w:line="46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zh-TW" w:eastAsia="zh-TW"/>
        </w:rPr>
        <w:t>甲方：</w:t>
      </w:r>
      <w:r>
        <w:rPr>
          <w:rFonts w:hint="eastAsia" w:ascii="仿宋" w:hAnsi="仿宋" w:eastAsia="仿宋" w:cs="仿宋"/>
          <w:sz w:val="28"/>
          <w:szCs w:val="28"/>
          <w:highlight w:val="none"/>
          <w:u w:val="none" w:color="auto"/>
          <w:lang w:val="zh-TW" w:eastAsia="zh-CN"/>
        </w:rPr>
        <w:t>福建省建新医院</w:t>
      </w:r>
      <w:r>
        <w:rPr>
          <w:rFonts w:hint="eastAsia" w:ascii="仿宋" w:hAnsi="仿宋" w:eastAsia="仿宋" w:cs="仿宋"/>
          <w:sz w:val="28"/>
          <w:szCs w:val="28"/>
          <w:highlight w:val="none"/>
          <w:u w:val="none" w:color="auto"/>
          <w:lang w:val="zh-TW"/>
        </w:rPr>
        <w:t xml:space="preserve">  </w:t>
      </w:r>
      <w:r>
        <w:rPr>
          <w:rFonts w:hint="eastAsia" w:ascii="仿宋" w:hAnsi="仿宋" w:eastAsia="仿宋" w:cs="仿宋"/>
          <w:sz w:val="28"/>
          <w:szCs w:val="28"/>
          <w:highlight w:val="none"/>
          <w:u w:val="none" w:color="auto"/>
        </w:rPr>
        <w:t xml:space="preserve">             </w:t>
      </w:r>
      <w:r>
        <w:rPr>
          <w:rFonts w:hint="eastAsia" w:ascii="仿宋" w:hAnsi="仿宋" w:eastAsia="仿宋" w:cs="仿宋"/>
          <w:sz w:val="28"/>
          <w:szCs w:val="28"/>
          <w:highlight w:val="none"/>
        </w:rPr>
        <w:t>合同编号：</w:t>
      </w:r>
    </w:p>
    <w:p w14:paraId="05BF5088">
      <w:pPr>
        <w:pStyle w:val="15"/>
        <w:keepNext w:val="0"/>
        <w:keepLines w:val="0"/>
        <w:pageBreakBefore w:val="0"/>
        <w:widowControl w:val="0"/>
        <w:kinsoku/>
        <w:wordWrap/>
        <w:overflowPunct/>
        <w:topLinePunct w:val="0"/>
        <w:autoSpaceDE/>
        <w:autoSpaceDN/>
        <w:bidi w:val="0"/>
        <w:spacing w:beforeAutospacing="0" w:afterAutospacing="0" w:line="460" w:lineRule="exact"/>
        <w:textAlignment w:val="auto"/>
        <w:rPr>
          <w:rFonts w:hint="eastAsia" w:ascii="仿宋" w:hAnsi="仿宋" w:eastAsia="仿宋" w:cs="仿宋"/>
          <w:sz w:val="28"/>
          <w:szCs w:val="28"/>
          <w:highlight w:val="none"/>
          <w:u w:val="single"/>
        </w:rPr>
      </w:pPr>
      <w:r>
        <w:rPr>
          <w:rFonts w:hint="eastAsia" w:ascii="仿宋" w:hAnsi="仿宋" w:eastAsia="仿宋" w:cs="仿宋"/>
          <w:sz w:val="28"/>
          <w:szCs w:val="28"/>
          <w:highlight w:val="none"/>
          <w:lang w:val="zh-TW" w:eastAsia="zh-TW"/>
        </w:rPr>
        <w:t>乙方：</w:t>
      </w:r>
      <w:r>
        <w:rPr>
          <w:rFonts w:hint="eastAsia" w:ascii="仿宋" w:hAnsi="仿宋" w:eastAsia="仿宋" w:cs="仿宋"/>
          <w:sz w:val="28"/>
          <w:szCs w:val="28"/>
          <w:highlight w:val="none"/>
          <w:u w:val="none" w:color="auto"/>
          <w:lang w:val="zh-TW"/>
        </w:rPr>
        <w:t xml:space="preserve">               </w:t>
      </w:r>
      <w:r>
        <w:rPr>
          <w:rFonts w:hint="eastAsia" w:ascii="仿宋" w:hAnsi="仿宋" w:eastAsia="仿宋" w:cs="仿宋"/>
          <w:sz w:val="28"/>
          <w:szCs w:val="28"/>
          <w:highlight w:val="none"/>
          <w:u w:val="none" w:color="auto"/>
        </w:rPr>
        <w:t xml:space="preserve">      </w:t>
      </w:r>
      <w:r>
        <w:rPr>
          <w:rFonts w:hint="eastAsia" w:ascii="仿宋" w:hAnsi="仿宋" w:eastAsia="仿宋" w:cs="仿宋"/>
          <w:sz w:val="28"/>
          <w:szCs w:val="28"/>
          <w:highlight w:val="none"/>
          <w:u w:val="none" w:color="auto"/>
          <w:lang w:val="en-US" w:eastAsia="zh-CN"/>
        </w:rPr>
        <w:t xml:space="preserve">        </w:t>
      </w:r>
      <w:r>
        <w:rPr>
          <w:rFonts w:hint="eastAsia" w:ascii="仿宋" w:hAnsi="仿宋" w:eastAsia="仿宋" w:cs="仿宋"/>
          <w:sz w:val="28"/>
          <w:szCs w:val="28"/>
          <w:highlight w:val="none"/>
          <w:u w:val="none" w:color="auto"/>
        </w:rPr>
        <w:t>签订地点：</w:t>
      </w:r>
    </w:p>
    <w:p w14:paraId="6A70C1ED">
      <w:pPr>
        <w:keepNext w:val="0"/>
        <w:keepLines w:val="0"/>
        <w:pageBreakBefore w:val="0"/>
        <w:widowControl w:val="0"/>
        <w:kinsoku/>
        <w:wordWrap/>
        <w:overflowPunct/>
        <w:topLinePunct w:val="0"/>
        <w:autoSpaceDE/>
        <w:autoSpaceDN/>
        <w:bidi w:val="0"/>
        <w:spacing w:beforeAutospacing="0" w:afterAutospacing="0" w:line="460" w:lineRule="exact"/>
        <w:ind w:firstLine="562" w:firstLineChars="200"/>
        <w:textAlignment w:val="auto"/>
        <w:rPr>
          <w:rFonts w:hint="eastAsia" w:ascii="仿宋" w:hAnsi="仿宋" w:eastAsia="仿宋" w:cs="仿宋"/>
          <w:b/>
          <w:sz w:val="28"/>
          <w:szCs w:val="28"/>
          <w:highlight w:val="none"/>
        </w:rPr>
      </w:pPr>
    </w:p>
    <w:p w14:paraId="7533C9CB">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b/>
          <w:sz w:val="28"/>
          <w:szCs w:val="28"/>
          <w:highlight w:val="none"/>
        </w:rPr>
      </w:pPr>
      <w:r>
        <w:rPr>
          <w:rFonts w:hint="eastAsia" w:ascii="仿宋" w:hAnsi="仿宋" w:eastAsia="仿宋" w:cs="仿宋"/>
          <w:sz w:val="28"/>
          <w:szCs w:val="28"/>
          <w:highlight w:val="none"/>
        </w:rPr>
        <w:t>甲方委托福建省卓诚招投标代理有限责任公司对福建省病犯监狱（福建省建新医院）一标段智能化系统采购项目配套测试测评服务项目进行竞争性谈判（文件编号：FJZC-TP-2026-030）的成交结果，乙方为成交供应商，现依照项目招标（采购）文件、投标（响应）文件及相关附件的内容，双方达成如下协议：</w:t>
      </w:r>
    </w:p>
    <w:p w14:paraId="046E0133">
      <w:pPr>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lang w:val="zh-TW"/>
        </w:rPr>
        <w:t>一、</w:t>
      </w:r>
      <w:r>
        <w:rPr>
          <w:rFonts w:hint="eastAsia" w:ascii="仿宋" w:hAnsi="仿宋" w:eastAsia="仿宋" w:cs="仿宋"/>
          <w:sz w:val="28"/>
          <w:szCs w:val="28"/>
          <w:highlight w:val="none"/>
          <w:lang w:val="zh-TW" w:eastAsia="zh-TW"/>
        </w:rPr>
        <w:t>合同标的</w:t>
      </w:r>
    </w:p>
    <w:tbl>
      <w:tblPr>
        <w:tblStyle w:val="20"/>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2536"/>
        <w:gridCol w:w="1527"/>
        <w:gridCol w:w="3834"/>
      </w:tblGrid>
      <w:tr w14:paraId="7D72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tcPr>
          <w:p w14:paraId="5132A249">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品目编码</w:t>
            </w:r>
          </w:p>
        </w:tc>
        <w:tc>
          <w:tcPr>
            <w:tcW w:w="2536" w:type="dxa"/>
            <w:vAlign w:val="center"/>
          </w:tcPr>
          <w:p w14:paraId="02502467">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zh-TW" w:eastAsia="zh-TW"/>
              </w:rPr>
              <w:t>C16060000</w:t>
            </w:r>
          </w:p>
        </w:tc>
        <w:tc>
          <w:tcPr>
            <w:tcW w:w="1527" w:type="dxa"/>
            <w:vAlign w:val="center"/>
          </w:tcPr>
          <w:p w14:paraId="60EDF4EA">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lef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品目名称</w:t>
            </w:r>
          </w:p>
        </w:tc>
        <w:tc>
          <w:tcPr>
            <w:tcW w:w="3834" w:type="dxa"/>
          </w:tcPr>
          <w:p w14:paraId="6815BB5B">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zh-TW" w:eastAsia="zh-TW"/>
              </w:rPr>
              <w:t>测试评估认证服务</w:t>
            </w:r>
          </w:p>
        </w:tc>
      </w:tr>
      <w:tr w14:paraId="4606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shd w:val="clear" w:color="auto" w:fill="auto"/>
            <w:vAlign w:val="center"/>
          </w:tcPr>
          <w:p w14:paraId="611122E0">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标的名称</w:t>
            </w:r>
          </w:p>
        </w:tc>
        <w:tc>
          <w:tcPr>
            <w:tcW w:w="2536" w:type="dxa"/>
            <w:vAlign w:val="center"/>
          </w:tcPr>
          <w:p w14:paraId="2D4CB55C">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both"/>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en-US" w:eastAsia="zh-CN"/>
              </w:rPr>
              <w:t>一标段智能化系统采购项目配套测试测评服务</w:t>
            </w:r>
          </w:p>
        </w:tc>
        <w:tc>
          <w:tcPr>
            <w:tcW w:w="1527" w:type="dxa"/>
            <w:vAlign w:val="center"/>
          </w:tcPr>
          <w:p w14:paraId="7D9A19F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lef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服务时间（单位）</w:t>
            </w:r>
          </w:p>
        </w:tc>
        <w:tc>
          <w:tcPr>
            <w:tcW w:w="3834" w:type="dxa"/>
          </w:tcPr>
          <w:p w14:paraId="191CF235">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zh-TW" w:eastAsia="zh-TW"/>
              </w:rPr>
              <w:t>合同签订后根据</w:t>
            </w:r>
            <w:r>
              <w:rPr>
                <w:rFonts w:hint="eastAsia" w:ascii="仿宋" w:hAnsi="仿宋" w:eastAsia="仿宋" w:cs="仿宋"/>
                <w:sz w:val="28"/>
                <w:szCs w:val="28"/>
                <w:highlight w:val="none"/>
                <w:vertAlign w:val="baseline"/>
                <w:lang w:val="zh-TW" w:eastAsia="zh-CN"/>
              </w:rPr>
              <w:t>甲方</w:t>
            </w:r>
            <w:r>
              <w:rPr>
                <w:rFonts w:hint="eastAsia" w:ascii="仿宋" w:hAnsi="仿宋" w:eastAsia="仿宋" w:cs="仿宋"/>
                <w:sz w:val="28"/>
                <w:szCs w:val="28"/>
                <w:highlight w:val="none"/>
                <w:vertAlign w:val="baseline"/>
                <w:lang w:val="zh-TW" w:eastAsia="zh-TW"/>
              </w:rPr>
              <w:t>通知进场，并按照谈判文件《第三章 采购内容及要求》中第二项“技术和服务要求”中规定的时间出具相关报告。</w:t>
            </w:r>
          </w:p>
        </w:tc>
      </w:tr>
      <w:tr w14:paraId="1D45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vAlign w:val="center"/>
          </w:tcPr>
          <w:p w14:paraId="5AFAA759">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lef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服务范围</w:t>
            </w:r>
          </w:p>
        </w:tc>
        <w:tc>
          <w:tcPr>
            <w:tcW w:w="7897" w:type="dxa"/>
            <w:gridSpan w:val="3"/>
          </w:tcPr>
          <w:p w14:paraId="3863EE11">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en-US" w:eastAsia="zh-CN"/>
              </w:rPr>
              <w:t>包括系统测试、等保测评、商用密评、信创符合性测试</w:t>
            </w:r>
            <w:bookmarkStart w:id="10" w:name="_GoBack"/>
            <w:bookmarkEnd w:id="10"/>
            <w:r>
              <w:rPr>
                <w:rFonts w:hint="eastAsia" w:ascii="仿宋" w:hAnsi="仿宋" w:eastAsia="仿宋" w:cs="仿宋"/>
                <w:sz w:val="28"/>
                <w:szCs w:val="28"/>
                <w:highlight w:val="none"/>
                <w:vertAlign w:val="baseline"/>
                <w:lang w:val="en-US" w:eastAsia="zh-CN"/>
              </w:rPr>
              <w:t>等服务及甲方要求的其它相关内容</w:t>
            </w:r>
          </w:p>
        </w:tc>
      </w:tr>
      <w:tr w14:paraId="0316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vAlign w:val="center"/>
          </w:tcPr>
          <w:p w14:paraId="74B110C1">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left"/>
              <w:textAlignment w:val="auto"/>
              <w:rPr>
                <w:rFonts w:hint="eastAsia" w:ascii="仿宋" w:hAnsi="仿宋" w:eastAsia="仿宋" w:cs="仿宋"/>
                <w:b/>
                <w:bCs/>
                <w:sz w:val="28"/>
                <w:szCs w:val="28"/>
                <w:highlight w:val="none"/>
                <w:vertAlign w:val="baseline"/>
                <w:lang w:val="en-US" w:eastAsia="zh-CN"/>
              </w:rPr>
            </w:pPr>
            <w:r>
              <w:rPr>
                <w:rFonts w:hint="eastAsia" w:ascii="仿宋" w:hAnsi="仿宋" w:eastAsia="仿宋" w:cs="仿宋"/>
                <w:b/>
                <w:bCs/>
                <w:sz w:val="28"/>
                <w:szCs w:val="28"/>
                <w:highlight w:val="none"/>
                <w:vertAlign w:val="baseline"/>
                <w:lang w:val="en-US" w:eastAsia="zh-CN"/>
              </w:rPr>
              <w:t>服务要求</w:t>
            </w:r>
          </w:p>
        </w:tc>
        <w:tc>
          <w:tcPr>
            <w:tcW w:w="7897" w:type="dxa"/>
            <w:gridSpan w:val="3"/>
          </w:tcPr>
          <w:p w14:paraId="2C341901">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须取得并提交国家认可的检测机构、等级保护测评机构、商用密码应用安全性评估机构及信创符合性测试机构出具的符合国家网络安全和相关法律法规要求的系统测试报告、网络安全等级保护测评报告、商用密码应用安全性评估报告以及信创符合性测试报告，以及甲方要求出具的相关报告或资料。</w:t>
            </w:r>
          </w:p>
        </w:tc>
      </w:tr>
      <w:tr w14:paraId="3C1D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1" w:type="dxa"/>
            <w:vAlign w:val="center"/>
          </w:tcPr>
          <w:p w14:paraId="29E889F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jc w:val="left"/>
              <w:textAlignment w:val="auto"/>
              <w:rPr>
                <w:rFonts w:hint="eastAsia" w:ascii="仿宋" w:hAnsi="仿宋" w:eastAsia="仿宋" w:cs="仿宋"/>
                <w:b/>
                <w:bCs/>
                <w:sz w:val="28"/>
                <w:szCs w:val="28"/>
                <w:highlight w:val="none"/>
                <w:vertAlign w:val="baseline"/>
                <w:lang w:val="zh-TW" w:eastAsia="zh-TW"/>
              </w:rPr>
            </w:pPr>
            <w:r>
              <w:rPr>
                <w:rFonts w:hint="eastAsia" w:ascii="仿宋" w:hAnsi="仿宋" w:eastAsia="仿宋" w:cs="仿宋"/>
                <w:b/>
                <w:bCs/>
                <w:sz w:val="28"/>
                <w:szCs w:val="28"/>
                <w:highlight w:val="none"/>
                <w:vertAlign w:val="baseline"/>
                <w:lang w:val="zh-TW" w:eastAsia="zh-TW"/>
              </w:rPr>
              <w:t>服务标准</w:t>
            </w:r>
          </w:p>
        </w:tc>
        <w:tc>
          <w:tcPr>
            <w:tcW w:w="7897" w:type="dxa"/>
            <w:gridSpan w:val="3"/>
          </w:tcPr>
          <w:p w14:paraId="1689ECFF">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textAlignment w:val="auto"/>
              <w:rPr>
                <w:rFonts w:hint="eastAsia" w:ascii="仿宋" w:hAnsi="仿宋" w:eastAsia="仿宋" w:cs="仿宋"/>
                <w:sz w:val="28"/>
                <w:szCs w:val="28"/>
                <w:highlight w:val="none"/>
                <w:vertAlign w:val="baseline"/>
                <w:lang w:val="zh-TW" w:eastAsia="zh-TW"/>
              </w:rPr>
            </w:pPr>
            <w:r>
              <w:rPr>
                <w:rFonts w:hint="eastAsia" w:ascii="仿宋" w:hAnsi="仿宋" w:eastAsia="仿宋" w:cs="仿宋"/>
                <w:sz w:val="28"/>
                <w:szCs w:val="28"/>
                <w:highlight w:val="none"/>
                <w:vertAlign w:val="baseline"/>
                <w:lang w:val="zh-TW" w:eastAsia="zh-TW"/>
              </w:rPr>
              <w:t>提交成果应符合国家有关标准、规范以及合同约定的要求，确保结果真实、准确、合理、合法、合规，测试测评报告应通过相关部门备案。</w:t>
            </w:r>
          </w:p>
        </w:tc>
      </w:tr>
    </w:tbl>
    <w:p w14:paraId="6A6587A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b/>
          <w:bCs/>
          <w:sz w:val="28"/>
          <w:szCs w:val="28"/>
          <w:highlight w:val="none"/>
        </w:rPr>
      </w:pPr>
      <w:r>
        <w:rPr>
          <w:rFonts w:hint="eastAsia" w:ascii="仿宋" w:hAnsi="仿宋" w:eastAsia="仿宋" w:cs="仿宋"/>
          <w:sz w:val="28"/>
          <w:szCs w:val="28"/>
          <w:highlight w:val="none"/>
          <w:lang w:val="zh-TW"/>
        </w:rPr>
        <w:t>二</w:t>
      </w:r>
      <w:r>
        <w:rPr>
          <w:rFonts w:hint="eastAsia" w:ascii="仿宋" w:hAnsi="仿宋" w:eastAsia="仿宋" w:cs="仿宋"/>
          <w:sz w:val="28"/>
          <w:szCs w:val="28"/>
          <w:highlight w:val="none"/>
          <w:lang w:val="zh-TW" w:eastAsia="zh-TW"/>
        </w:rPr>
        <w:t>、合同金额</w:t>
      </w:r>
    </w:p>
    <w:p w14:paraId="47853FBA">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right="0"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b w:val="0"/>
          <w:bCs/>
          <w:sz w:val="28"/>
          <w:szCs w:val="28"/>
          <w:highlight w:val="none"/>
          <w:lang w:eastAsia="zh-CN"/>
        </w:rPr>
        <w:t>本项目</w:t>
      </w:r>
      <w:r>
        <w:rPr>
          <w:rFonts w:hint="eastAsia" w:ascii="仿宋" w:hAnsi="仿宋" w:eastAsia="仿宋" w:cs="仿宋"/>
          <w:sz w:val="28"/>
          <w:szCs w:val="28"/>
          <w:highlight w:val="none"/>
          <w:lang w:val="zh-TW" w:eastAsia="zh-TW"/>
        </w:rPr>
        <w:t>合同金额为</w:t>
      </w:r>
      <w:r>
        <w:rPr>
          <w:rFonts w:hint="eastAsia" w:ascii="仿宋" w:hAnsi="仿宋" w:eastAsia="仿宋" w:cs="仿宋"/>
          <w:sz w:val="28"/>
          <w:szCs w:val="28"/>
          <w:highlight w:val="none"/>
        </w:rPr>
        <w:t>固定总价，即</w:t>
      </w:r>
      <w:r>
        <w:rPr>
          <w:rFonts w:hint="eastAsia" w:ascii="仿宋" w:hAnsi="仿宋" w:eastAsia="仿宋" w:cs="仿宋"/>
          <w:sz w:val="28"/>
          <w:szCs w:val="28"/>
          <w:highlight w:val="none"/>
          <w:lang w:val="zh-TW" w:eastAsia="zh-TW"/>
        </w:rPr>
        <w:t>人民币大写：</w:t>
      </w:r>
      <w:r>
        <w:rPr>
          <w:rFonts w:hint="eastAsia" w:ascii="仿宋" w:hAnsi="仿宋" w:eastAsia="仿宋" w:cs="仿宋"/>
          <w:sz w:val="28"/>
          <w:szCs w:val="28"/>
          <w:highlight w:val="none"/>
          <w:u w:val="single"/>
          <w:lang w:val="zh-TW"/>
        </w:rPr>
        <w:t xml:space="preserve">      元</w:t>
      </w:r>
      <w:r>
        <w:rPr>
          <w:rFonts w:hint="eastAsia" w:ascii="仿宋" w:hAnsi="仿宋" w:eastAsia="仿宋" w:cs="仿宋"/>
          <w:sz w:val="28"/>
          <w:szCs w:val="28"/>
          <w:highlight w:val="none"/>
          <w:lang w:val="zh-TW" w:eastAsia="zh-TW"/>
        </w:rPr>
        <w:t>（￥</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zh-TW" w:eastAsia="zh-TW"/>
        </w:rPr>
        <w:t>）。</w:t>
      </w:r>
      <w:r>
        <w:rPr>
          <w:rFonts w:hint="eastAsia" w:ascii="仿宋" w:hAnsi="仿宋" w:eastAsia="仿宋" w:cs="仿宋"/>
          <w:sz w:val="28"/>
          <w:szCs w:val="28"/>
          <w:highlight w:val="none"/>
        </w:rPr>
        <w:t>该价款包括乙方为履行本项目所产生的一切费用（</w:t>
      </w:r>
      <w:r>
        <w:rPr>
          <w:rFonts w:hint="eastAsia" w:ascii="仿宋" w:hAnsi="仿宋" w:eastAsia="仿宋" w:cs="仿宋"/>
          <w:sz w:val="28"/>
          <w:szCs w:val="28"/>
          <w:highlight w:val="none"/>
          <w:lang w:val="en-US" w:eastAsia="zh-CN"/>
        </w:rPr>
        <w:t>包括但不限于本项目</w:t>
      </w:r>
      <w:r>
        <w:rPr>
          <w:rFonts w:hint="eastAsia" w:ascii="仿宋" w:hAnsi="仿宋" w:eastAsia="仿宋" w:cs="仿宋"/>
          <w:sz w:val="28"/>
          <w:szCs w:val="28"/>
          <w:highlight w:val="none"/>
        </w:rPr>
        <w:t>测评与测试实施服务费</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整改咨询</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含复测复评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与技术支持费</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报告编制与认证费用</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项目管理与差旅成本</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eastAsia="zh-CN"/>
        </w:rPr>
        <w:t>人员保险</w:t>
      </w:r>
      <w:r>
        <w:rPr>
          <w:rFonts w:hint="eastAsia" w:ascii="仿宋" w:hAnsi="仿宋" w:eastAsia="仿宋" w:cs="仿宋"/>
          <w:sz w:val="28"/>
          <w:szCs w:val="28"/>
          <w:highlight w:val="none"/>
          <w:lang w:val="en-US" w:eastAsia="zh-CN"/>
        </w:rPr>
        <w:t>与</w:t>
      </w:r>
      <w:r>
        <w:rPr>
          <w:rFonts w:hint="eastAsia" w:ascii="仿宋" w:hAnsi="仿宋" w:eastAsia="仿宋" w:cs="仿宋"/>
          <w:sz w:val="28"/>
          <w:szCs w:val="28"/>
          <w:highlight w:val="none"/>
          <w:lang w:eastAsia="zh-CN"/>
        </w:rPr>
        <w:t>现场安全防护</w:t>
      </w:r>
      <w:r>
        <w:rPr>
          <w:rFonts w:hint="eastAsia" w:ascii="仿宋" w:hAnsi="仿宋" w:eastAsia="仿宋" w:cs="仿宋"/>
          <w:sz w:val="28"/>
          <w:szCs w:val="28"/>
          <w:highlight w:val="none"/>
          <w:lang w:val="en-US" w:eastAsia="zh-CN"/>
        </w:rPr>
        <w:t>费、</w:t>
      </w:r>
      <w:r>
        <w:rPr>
          <w:rFonts w:hint="eastAsia" w:ascii="仿宋" w:hAnsi="仿宋" w:eastAsia="仿宋" w:cs="仿宋"/>
          <w:sz w:val="28"/>
          <w:szCs w:val="28"/>
          <w:highlight w:val="none"/>
          <w:lang w:eastAsia="zh-CN"/>
        </w:rPr>
        <w:t>第三方核验</w:t>
      </w:r>
      <w:r>
        <w:rPr>
          <w:rFonts w:hint="eastAsia" w:ascii="仿宋" w:hAnsi="仿宋" w:eastAsia="仿宋" w:cs="仿宋"/>
          <w:sz w:val="28"/>
          <w:szCs w:val="28"/>
          <w:highlight w:val="none"/>
          <w:lang w:val="en-US" w:eastAsia="zh-CN"/>
        </w:rPr>
        <w:t>与</w:t>
      </w:r>
      <w:r>
        <w:rPr>
          <w:rFonts w:hint="eastAsia" w:ascii="仿宋" w:hAnsi="仿宋" w:eastAsia="仿宋" w:cs="仿宋"/>
          <w:sz w:val="28"/>
          <w:szCs w:val="28"/>
          <w:highlight w:val="none"/>
          <w:lang w:eastAsia="zh-CN"/>
        </w:rPr>
        <w:t>送检费、</w:t>
      </w:r>
      <w:r>
        <w:rPr>
          <w:rFonts w:hint="eastAsia" w:ascii="仿宋" w:hAnsi="仿宋" w:eastAsia="仿宋" w:cs="仿宋"/>
          <w:sz w:val="28"/>
          <w:szCs w:val="28"/>
          <w:highlight w:val="none"/>
          <w:lang w:val="en-US" w:eastAsia="zh-CN"/>
        </w:rPr>
        <w:t>专家评审与会务费、税费等所有费用，且已综合考虑了合同履行过程中的各项因素和风险，</w:t>
      </w:r>
      <w:r>
        <w:rPr>
          <w:rFonts w:hint="eastAsia" w:ascii="仿宋" w:hAnsi="仿宋" w:eastAsia="仿宋" w:cs="仿宋"/>
          <w:sz w:val="28"/>
          <w:szCs w:val="28"/>
          <w:highlight w:val="none"/>
        </w:rPr>
        <w:t>还要考虑到合同中可能出现的索赔和变更，</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rPr>
        <w:t>应保障</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rPr>
        <w:t>免于承担由此引起的索赔、诉讼或其他费用）。</w:t>
      </w:r>
    </w:p>
    <w:tbl>
      <w:tblPr>
        <w:tblStyle w:val="20"/>
        <w:tblW w:w="90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3458"/>
        <w:gridCol w:w="970"/>
        <w:gridCol w:w="2249"/>
        <w:gridCol w:w="1593"/>
      </w:tblGrid>
      <w:tr w14:paraId="692F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4F0C36A">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
                <w:bCs/>
                <w:color w:val="auto"/>
                <w:sz w:val="28"/>
                <w:szCs w:val="28"/>
                <w:highlight w:val="none"/>
                <w:shd w:val="clear" w:color="auto" w:fill="FFFFFF"/>
                <w:vertAlign w:val="baseline"/>
                <w:lang w:val="en-US" w:eastAsia="zh-CN"/>
              </w:rPr>
            </w:pPr>
            <w:r>
              <w:rPr>
                <w:rStyle w:val="22"/>
                <w:rFonts w:hint="eastAsia" w:ascii="仿宋" w:hAnsi="仿宋" w:eastAsia="仿宋" w:cs="仿宋"/>
                <w:b/>
                <w:bCs/>
                <w:color w:val="auto"/>
                <w:sz w:val="28"/>
                <w:szCs w:val="28"/>
                <w:highlight w:val="none"/>
                <w:shd w:val="clear" w:color="auto" w:fill="FFFFFF"/>
                <w:vertAlign w:val="baseline"/>
                <w:lang w:val="en-US" w:eastAsia="zh-CN"/>
              </w:rPr>
              <w:t>序号</w:t>
            </w:r>
          </w:p>
        </w:tc>
        <w:tc>
          <w:tcPr>
            <w:tcW w:w="3458" w:type="dxa"/>
          </w:tcPr>
          <w:p w14:paraId="7095ABAE">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
                <w:bCs/>
                <w:color w:val="auto"/>
                <w:sz w:val="28"/>
                <w:szCs w:val="28"/>
                <w:highlight w:val="none"/>
                <w:shd w:val="clear" w:color="auto" w:fill="FFFFFF"/>
                <w:vertAlign w:val="baseline"/>
                <w:lang w:val="en-US" w:eastAsia="zh-CN"/>
              </w:rPr>
            </w:pPr>
            <w:r>
              <w:rPr>
                <w:rStyle w:val="22"/>
                <w:rFonts w:hint="eastAsia" w:ascii="仿宋" w:hAnsi="仿宋" w:eastAsia="仿宋" w:cs="仿宋"/>
                <w:b/>
                <w:bCs/>
                <w:color w:val="auto"/>
                <w:sz w:val="28"/>
                <w:szCs w:val="28"/>
                <w:highlight w:val="none"/>
                <w:shd w:val="clear" w:color="auto" w:fill="FFFFFF"/>
                <w:vertAlign w:val="baseline"/>
                <w:lang w:val="en-US" w:eastAsia="zh-CN"/>
              </w:rPr>
              <w:t>报价内容</w:t>
            </w:r>
          </w:p>
        </w:tc>
        <w:tc>
          <w:tcPr>
            <w:tcW w:w="970" w:type="dxa"/>
          </w:tcPr>
          <w:p w14:paraId="5AFE5319">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
                <w:bCs/>
                <w:color w:val="auto"/>
                <w:sz w:val="28"/>
                <w:szCs w:val="28"/>
                <w:highlight w:val="none"/>
                <w:shd w:val="clear" w:color="auto" w:fill="FFFFFF"/>
                <w:vertAlign w:val="baseline"/>
              </w:rPr>
            </w:pPr>
            <w:r>
              <w:rPr>
                <w:rFonts w:hint="eastAsia" w:ascii="仿宋" w:hAnsi="仿宋" w:eastAsia="仿宋" w:cs="仿宋"/>
                <w:b/>
                <w:bCs/>
                <w:color w:val="auto"/>
                <w:sz w:val="28"/>
                <w:szCs w:val="28"/>
                <w:highlight w:val="none"/>
              </w:rPr>
              <w:t>数量</w:t>
            </w:r>
          </w:p>
        </w:tc>
        <w:tc>
          <w:tcPr>
            <w:tcW w:w="2249" w:type="dxa"/>
          </w:tcPr>
          <w:p w14:paraId="0BAFCF9E">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
                <w:bCs/>
                <w:color w:val="auto"/>
                <w:sz w:val="28"/>
                <w:szCs w:val="28"/>
                <w:highlight w:val="none"/>
                <w:shd w:val="clear" w:color="auto" w:fill="FFFFFF"/>
                <w:vertAlign w:val="baseline"/>
                <w:lang w:val="en-US" w:eastAsia="zh-CN"/>
              </w:rPr>
            </w:pPr>
            <w:r>
              <w:rPr>
                <w:rStyle w:val="22"/>
                <w:rFonts w:hint="eastAsia" w:ascii="仿宋" w:hAnsi="仿宋" w:eastAsia="仿宋" w:cs="仿宋"/>
                <w:b/>
                <w:bCs/>
                <w:color w:val="auto"/>
                <w:sz w:val="28"/>
                <w:szCs w:val="28"/>
                <w:highlight w:val="none"/>
                <w:shd w:val="clear" w:color="auto" w:fill="FFFFFF"/>
                <w:vertAlign w:val="baseline"/>
                <w:lang w:val="en-US" w:eastAsia="zh-CN"/>
              </w:rPr>
              <w:t>结算单价（元）</w:t>
            </w:r>
          </w:p>
        </w:tc>
        <w:tc>
          <w:tcPr>
            <w:tcW w:w="1593" w:type="dxa"/>
          </w:tcPr>
          <w:p w14:paraId="0B9904B0">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
                <w:bCs/>
                <w:color w:val="auto"/>
                <w:sz w:val="28"/>
                <w:szCs w:val="28"/>
                <w:highlight w:val="none"/>
                <w:shd w:val="clear" w:color="auto" w:fill="FFFFFF"/>
                <w:vertAlign w:val="baseline"/>
                <w:lang w:val="en-US" w:eastAsia="zh-CN"/>
              </w:rPr>
            </w:pPr>
            <w:r>
              <w:rPr>
                <w:rStyle w:val="22"/>
                <w:rFonts w:hint="eastAsia" w:ascii="仿宋" w:hAnsi="仿宋" w:eastAsia="仿宋" w:cs="仿宋"/>
                <w:b/>
                <w:bCs/>
                <w:color w:val="auto"/>
                <w:sz w:val="28"/>
                <w:szCs w:val="28"/>
                <w:highlight w:val="none"/>
                <w:shd w:val="clear" w:color="auto" w:fill="FFFFFF"/>
                <w:vertAlign w:val="baseline"/>
                <w:lang w:val="en-US" w:eastAsia="zh-CN"/>
              </w:rPr>
              <w:t>备注</w:t>
            </w:r>
          </w:p>
        </w:tc>
      </w:tr>
      <w:tr w14:paraId="4649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6" w:type="dxa"/>
          </w:tcPr>
          <w:p w14:paraId="1B0A08C9">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lang w:val="en-US" w:eastAsia="zh-CN"/>
              </w:rPr>
            </w:pPr>
            <w:r>
              <w:rPr>
                <w:rStyle w:val="22"/>
                <w:rFonts w:hint="eastAsia" w:ascii="仿宋" w:hAnsi="仿宋" w:eastAsia="仿宋" w:cs="仿宋"/>
                <w:bCs/>
                <w:color w:val="auto"/>
                <w:sz w:val="28"/>
                <w:szCs w:val="28"/>
                <w:highlight w:val="none"/>
                <w:shd w:val="clear" w:color="auto" w:fill="FFFFFF"/>
                <w:vertAlign w:val="baseline"/>
                <w:lang w:val="en-US" w:eastAsia="zh-CN"/>
              </w:rPr>
              <w:t>1</w:t>
            </w:r>
          </w:p>
        </w:tc>
        <w:tc>
          <w:tcPr>
            <w:tcW w:w="3458" w:type="dxa"/>
          </w:tcPr>
          <w:p w14:paraId="754AC571">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Fonts w:hint="eastAsia" w:ascii="仿宋" w:hAnsi="仿宋" w:eastAsia="仿宋" w:cs="仿宋"/>
                <w:b/>
                <w:bCs/>
                <w:color w:val="auto"/>
                <w:sz w:val="28"/>
                <w:szCs w:val="28"/>
                <w:highlight w:val="none"/>
                <w:lang w:val="en-US" w:eastAsia="zh-CN"/>
              </w:rPr>
              <w:t>系统测试</w:t>
            </w:r>
          </w:p>
        </w:tc>
        <w:tc>
          <w:tcPr>
            <w:tcW w:w="970" w:type="dxa"/>
          </w:tcPr>
          <w:p w14:paraId="4C86145B">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lang w:val="en-US" w:eastAsia="zh-CN"/>
              </w:rPr>
            </w:pPr>
            <w:r>
              <w:rPr>
                <w:rStyle w:val="22"/>
                <w:rFonts w:hint="eastAsia" w:ascii="仿宋" w:hAnsi="仿宋" w:eastAsia="仿宋" w:cs="仿宋"/>
                <w:bCs/>
                <w:color w:val="auto"/>
                <w:sz w:val="28"/>
                <w:szCs w:val="28"/>
                <w:highlight w:val="none"/>
                <w:shd w:val="clear" w:color="auto" w:fill="FFFFFF"/>
                <w:vertAlign w:val="baseline"/>
                <w:lang w:val="en-US" w:eastAsia="zh-CN"/>
              </w:rPr>
              <w:t>1项</w:t>
            </w:r>
          </w:p>
        </w:tc>
        <w:tc>
          <w:tcPr>
            <w:tcW w:w="2249" w:type="dxa"/>
          </w:tcPr>
          <w:p w14:paraId="6877A976">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c>
          <w:tcPr>
            <w:tcW w:w="1593" w:type="dxa"/>
          </w:tcPr>
          <w:p w14:paraId="38585865">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r>
      <w:tr w14:paraId="002D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5E8CF64">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lang w:val="en-US" w:eastAsia="zh-CN"/>
              </w:rPr>
            </w:pPr>
            <w:r>
              <w:rPr>
                <w:rStyle w:val="22"/>
                <w:rFonts w:hint="eastAsia" w:ascii="仿宋" w:hAnsi="仿宋" w:eastAsia="仿宋" w:cs="仿宋"/>
                <w:bCs/>
                <w:color w:val="auto"/>
                <w:sz w:val="28"/>
                <w:szCs w:val="28"/>
                <w:highlight w:val="none"/>
                <w:shd w:val="clear" w:color="auto" w:fill="FFFFFF"/>
                <w:vertAlign w:val="baseline"/>
                <w:lang w:val="en-US" w:eastAsia="zh-CN"/>
              </w:rPr>
              <w:t>2</w:t>
            </w:r>
          </w:p>
        </w:tc>
        <w:tc>
          <w:tcPr>
            <w:tcW w:w="3458" w:type="dxa"/>
          </w:tcPr>
          <w:p w14:paraId="19B196E4">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Fonts w:hint="eastAsia" w:ascii="仿宋" w:hAnsi="仿宋" w:eastAsia="仿宋" w:cs="仿宋"/>
                <w:b/>
                <w:bCs/>
                <w:color w:val="auto"/>
                <w:sz w:val="28"/>
                <w:szCs w:val="28"/>
                <w:highlight w:val="none"/>
                <w:lang w:val="en-US" w:eastAsia="zh-CN"/>
              </w:rPr>
              <w:t>网络安全等级保护测评</w:t>
            </w:r>
          </w:p>
        </w:tc>
        <w:tc>
          <w:tcPr>
            <w:tcW w:w="970" w:type="dxa"/>
            <w:vAlign w:val="top"/>
          </w:tcPr>
          <w:p w14:paraId="63F6F0D8">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Style w:val="22"/>
                <w:rFonts w:hint="eastAsia" w:ascii="仿宋" w:hAnsi="仿宋" w:eastAsia="仿宋" w:cs="仿宋"/>
                <w:bCs/>
                <w:color w:val="auto"/>
                <w:sz w:val="28"/>
                <w:szCs w:val="28"/>
                <w:highlight w:val="none"/>
                <w:shd w:val="clear" w:color="auto" w:fill="FFFFFF"/>
                <w:vertAlign w:val="baseline"/>
                <w:lang w:val="en-US" w:eastAsia="zh-CN"/>
              </w:rPr>
              <w:t>1项</w:t>
            </w:r>
          </w:p>
        </w:tc>
        <w:tc>
          <w:tcPr>
            <w:tcW w:w="2249" w:type="dxa"/>
          </w:tcPr>
          <w:p w14:paraId="69103BEE">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c>
          <w:tcPr>
            <w:tcW w:w="1593" w:type="dxa"/>
          </w:tcPr>
          <w:p w14:paraId="1960412C">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r>
      <w:tr w14:paraId="1D6A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0CF9F0B3">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lang w:val="en-US" w:eastAsia="zh-CN"/>
              </w:rPr>
            </w:pPr>
            <w:r>
              <w:rPr>
                <w:rStyle w:val="22"/>
                <w:rFonts w:hint="eastAsia" w:ascii="仿宋" w:hAnsi="仿宋" w:eastAsia="仿宋" w:cs="仿宋"/>
                <w:bCs/>
                <w:color w:val="auto"/>
                <w:sz w:val="28"/>
                <w:szCs w:val="28"/>
                <w:highlight w:val="none"/>
                <w:shd w:val="clear" w:color="auto" w:fill="FFFFFF"/>
                <w:vertAlign w:val="baseline"/>
                <w:lang w:val="en-US" w:eastAsia="zh-CN"/>
              </w:rPr>
              <w:t>3</w:t>
            </w:r>
          </w:p>
        </w:tc>
        <w:tc>
          <w:tcPr>
            <w:tcW w:w="3458" w:type="dxa"/>
          </w:tcPr>
          <w:p w14:paraId="4CC6EB42">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Fonts w:hint="eastAsia" w:ascii="仿宋" w:hAnsi="仿宋" w:eastAsia="仿宋" w:cs="仿宋"/>
                <w:b/>
                <w:bCs/>
                <w:color w:val="auto"/>
                <w:sz w:val="28"/>
                <w:szCs w:val="28"/>
                <w:highlight w:val="none"/>
                <w:lang w:val="en-US" w:eastAsia="zh-CN"/>
              </w:rPr>
              <w:t>商用密码应用安全性评估</w:t>
            </w:r>
          </w:p>
        </w:tc>
        <w:tc>
          <w:tcPr>
            <w:tcW w:w="970" w:type="dxa"/>
            <w:vAlign w:val="top"/>
          </w:tcPr>
          <w:p w14:paraId="1314D320">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Style w:val="22"/>
                <w:rFonts w:hint="eastAsia" w:ascii="仿宋" w:hAnsi="仿宋" w:eastAsia="仿宋" w:cs="仿宋"/>
                <w:bCs/>
                <w:color w:val="auto"/>
                <w:sz w:val="28"/>
                <w:szCs w:val="28"/>
                <w:highlight w:val="none"/>
                <w:shd w:val="clear" w:color="auto" w:fill="FFFFFF"/>
                <w:vertAlign w:val="baseline"/>
                <w:lang w:val="en-US" w:eastAsia="zh-CN"/>
              </w:rPr>
              <w:t>1项</w:t>
            </w:r>
          </w:p>
        </w:tc>
        <w:tc>
          <w:tcPr>
            <w:tcW w:w="2249" w:type="dxa"/>
          </w:tcPr>
          <w:p w14:paraId="30E399A3">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c>
          <w:tcPr>
            <w:tcW w:w="1593" w:type="dxa"/>
          </w:tcPr>
          <w:p w14:paraId="0E7F4414">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r>
      <w:tr w14:paraId="3D36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7608DD2">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lang w:val="en-US" w:eastAsia="zh-CN"/>
              </w:rPr>
            </w:pPr>
            <w:r>
              <w:rPr>
                <w:rStyle w:val="22"/>
                <w:rFonts w:hint="eastAsia" w:ascii="仿宋" w:hAnsi="仿宋" w:eastAsia="仿宋" w:cs="仿宋"/>
                <w:bCs/>
                <w:color w:val="auto"/>
                <w:sz w:val="28"/>
                <w:szCs w:val="28"/>
                <w:highlight w:val="none"/>
                <w:shd w:val="clear" w:color="auto" w:fill="FFFFFF"/>
                <w:vertAlign w:val="baseline"/>
                <w:lang w:val="en-US" w:eastAsia="zh-CN"/>
              </w:rPr>
              <w:t>4</w:t>
            </w:r>
          </w:p>
        </w:tc>
        <w:tc>
          <w:tcPr>
            <w:tcW w:w="3458" w:type="dxa"/>
          </w:tcPr>
          <w:p w14:paraId="061B7BD3">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Fonts w:hint="eastAsia" w:ascii="仿宋" w:hAnsi="仿宋" w:eastAsia="仿宋" w:cs="仿宋"/>
                <w:b/>
                <w:bCs/>
                <w:sz w:val="28"/>
                <w:szCs w:val="28"/>
                <w:highlight w:val="none"/>
                <w:lang w:val="en-US" w:eastAsia="zh-CN"/>
              </w:rPr>
              <w:t>信创符合性测试</w:t>
            </w:r>
          </w:p>
        </w:tc>
        <w:tc>
          <w:tcPr>
            <w:tcW w:w="970" w:type="dxa"/>
            <w:vAlign w:val="top"/>
          </w:tcPr>
          <w:p w14:paraId="0A7C5BAC">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r>
              <w:rPr>
                <w:rStyle w:val="22"/>
                <w:rFonts w:hint="eastAsia" w:ascii="仿宋" w:hAnsi="仿宋" w:eastAsia="仿宋" w:cs="仿宋"/>
                <w:bCs/>
                <w:color w:val="auto"/>
                <w:sz w:val="28"/>
                <w:szCs w:val="28"/>
                <w:highlight w:val="none"/>
                <w:shd w:val="clear" w:color="auto" w:fill="FFFFFF"/>
                <w:vertAlign w:val="baseline"/>
                <w:lang w:val="en-US" w:eastAsia="zh-CN"/>
              </w:rPr>
              <w:t>1项</w:t>
            </w:r>
          </w:p>
        </w:tc>
        <w:tc>
          <w:tcPr>
            <w:tcW w:w="2249" w:type="dxa"/>
          </w:tcPr>
          <w:p w14:paraId="4E939666">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c>
          <w:tcPr>
            <w:tcW w:w="1593" w:type="dxa"/>
          </w:tcPr>
          <w:p w14:paraId="64458471">
            <w:pPr>
              <w:pStyle w:val="15"/>
              <w:keepNext w:val="0"/>
              <w:keepLines w:val="0"/>
              <w:pageBreakBefore w:val="0"/>
              <w:widowControl w:val="0"/>
              <w:kinsoku/>
              <w:wordWrap/>
              <w:overflowPunct/>
              <w:topLinePunct w:val="0"/>
              <w:autoSpaceDE/>
              <w:autoSpaceDN/>
              <w:bidi w:val="0"/>
              <w:adjustRightInd/>
              <w:snapToGrid/>
              <w:spacing w:beforeAutospacing="0" w:afterAutospacing="0" w:line="460" w:lineRule="exact"/>
              <w:jc w:val="both"/>
              <w:textAlignment w:val="auto"/>
              <w:rPr>
                <w:rStyle w:val="22"/>
                <w:rFonts w:hint="eastAsia" w:ascii="仿宋" w:hAnsi="仿宋" w:eastAsia="仿宋" w:cs="仿宋"/>
                <w:bCs/>
                <w:color w:val="auto"/>
                <w:sz w:val="28"/>
                <w:szCs w:val="28"/>
                <w:highlight w:val="none"/>
                <w:shd w:val="clear" w:color="auto" w:fill="FFFFFF"/>
                <w:vertAlign w:val="baseline"/>
              </w:rPr>
            </w:pPr>
          </w:p>
        </w:tc>
      </w:tr>
    </w:tbl>
    <w:p w14:paraId="4BEBDDD4">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zh-TW"/>
        </w:rPr>
        <w:t>三</w:t>
      </w:r>
      <w:r>
        <w:rPr>
          <w:rFonts w:hint="eastAsia" w:ascii="仿宋" w:hAnsi="仿宋" w:eastAsia="仿宋" w:cs="仿宋"/>
          <w:sz w:val="28"/>
          <w:szCs w:val="28"/>
          <w:highlight w:val="none"/>
          <w:lang w:val="zh-TW" w:eastAsia="zh-TW"/>
        </w:rPr>
        <w:t>、</w:t>
      </w:r>
      <w:r>
        <w:rPr>
          <w:rFonts w:hint="eastAsia" w:ascii="仿宋" w:hAnsi="仿宋" w:eastAsia="仿宋" w:cs="仿宋"/>
          <w:sz w:val="28"/>
          <w:szCs w:val="28"/>
          <w:highlight w:val="none"/>
        </w:rPr>
        <w:t>服务</w:t>
      </w:r>
      <w:r>
        <w:rPr>
          <w:rFonts w:hint="eastAsia" w:ascii="仿宋" w:hAnsi="仿宋" w:eastAsia="仿宋" w:cs="仿宋"/>
          <w:sz w:val="28"/>
          <w:szCs w:val="28"/>
          <w:highlight w:val="none"/>
          <w:lang w:val="zh-TW"/>
        </w:rPr>
        <w:t>时间</w:t>
      </w:r>
      <w:r>
        <w:rPr>
          <w:rFonts w:hint="eastAsia" w:ascii="仿宋" w:hAnsi="仿宋" w:eastAsia="仿宋" w:cs="仿宋"/>
          <w:sz w:val="28"/>
          <w:szCs w:val="28"/>
          <w:highlight w:val="none"/>
          <w:lang w:val="zh-TW" w:eastAsia="zh-TW"/>
        </w:rPr>
        <w:t>、地点和条件</w:t>
      </w:r>
    </w:p>
    <w:p w14:paraId="464989D6">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zh-TW" w:eastAsia="zh-TW"/>
        </w:rPr>
        <w:t>服务时间：合同签订后</w:t>
      </w:r>
      <w:r>
        <w:rPr>
          <w:rFonts w:hint="eastAsia" w:ascii="仿宋" w:hAnsi="仿宋" w:eastAsia="仿宋" w:cs="仿宋"/>
          <w:color w:val="auto"/>
          <w:sz w:val="28"/>
          <w:szCs w:val="28"/>
          <w:highlight w:val="none"/>
          <w:lang w:val="en-US" w:eastAsia="zh-CN"/>
        </w:rPr>
        <w:t>根据甲方通知进场</w:t>
      </w:r>
      <w:r>
        <w:rPr>
          <w:rFonts w:hint="eastAsia" w:ascii="仿宋" w:hAnsi="仿宋" w:eastAsia="仿宋" w:cs="仿宋"/>
          <w:color w:val="auto"/>
          <w:sz w:val="28"/>
          <w:szCs w:val="28"/>
          <w:highlight w:val="none"/>
          <w:lang w:val="zh-TW" w:eastAsia="zh-TW"/>
        </w:rPr>
        <w:t>，</w:t>
      </w:r>
      <w:r>
        <w:rPr>
          <w:rFonts w:hint="eastAsia" w:ascii="仿宋" w:hAnsi="仿宋" w:eastAsia="仿宋" w:cs="仿宋"/>
          <w:color w:val="auto"/>
          <w:sz w:val="28"/>
          <w:szCs w:val="28"/>
          <w:highlight w:val="none"/>
          <w:lang w:val="en-US" w:eastAsia="zh-CN"/>
        </w:rPr>
        <w:t>并</w:t>
      </w:r>
      <w:r>
        <w:rPr>
          <w:rFonts w:hint="eastAsia" w:ascii="仿宋" w:hAnsi="仿宋" w:eastAsia="仿宋" w:cs="仿宋"/>
          <w:color w:val="auto"/>
          <w:sz w:val="28"/>
          <w:szCs w:val="28"/>
          <w:highlight w:val="none"/>
          <w:lang w:val="zh-TW" w:eastAsia="zh-TW"/>
        </w:rPr>
        <w:t>按照</w:t>
      </w:r>
      <w:r>
        <w:rPr>
          <w:rFonts w:hint="eastAsia" w:ascii="仿宋" w:hAnsi="仿宋" w:eastAsia="仿宋" w:cs="仿宋"/>
          <w:color w:val="auto"/>
          <w:sz w:val="28"/>
          <w:szCs w:val="28"/>
          <w:highlight w:val="none"/>
          <w:lang w:val="en-US" w:eastAsia="zh-CN"/>
        </w:rPr>
        <w:t>谈判文件《第三章 采购内容及要求》</w:t>
      </w:r>
      <w:r>
        <w:rPr>
          <w:rFonts w:hint="eastAsia" w:ascii="仿宋" w:hAnsi="仿宋" w:eastAsia="仿宋" w:cs="仿宋"/>
          <w:color w:val="auto"/>
          <w:sz w:val="28"/>
          <w:szCs w:val="28"/>
          <w:highlight w:val="none"/>
          <w:lang w:val="zh-TW" w:eastAsia="zh-TW"/>
        </w:rPr>
        <w:t>中第二项“技术和服务要求”中规定</w:t>
      </w:r>
      <w:r>
        <w:rPr>
          <w:rFonts w:hint="eastAsia" w:ascii="仿宋" w:hAnsi="仿宋" w:eastAsia="仿宋" w:cs="仿宋"/>
          <w:color w:val="auto"/>
          <w:sz w:val="28"/>
          <w:szCs w:val="28"/>
          <w:highlight w:val="none"/>
          <w:lang w:val="en-US" w:eastAsia="zh-CN"/>
        </w:rPr>
        <w:t>的时间</w:t>
      </w:r>
      <w:r>
        <w:rPr>
          <w:rFonts w:hint="eastAsia" w:ascii="仿宋" w:hAnsi="仿宋" w:eastAsia="仿宋" w:cs="仿宋"/>
          <w:color w:val="auto"/>
          <w:sz w:val="28"/>
          <w:szCs w:val="28"/>
          <w:highlight w:val="none"/>
          <w:lang w:val="zh-TW" w:eastAsia="zh-TW"/>
        </w:rPr>
        <w:t>出具相关报告。</w:t>
      </w:r>
    </w:p>
    <w:p w14:paraId="40583DFA">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zh-TW" w:eastAsia="zh-TW"/>
        </w:rPr>
        <w:t>服务地点：</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lang w:val="zh-TW" w:eastAsia="zh-TW"/>
        </w:rPr>
        <w:t>指定地点</w:t>
      </w:r>
      <w:r>
        <w:rPr>
          <w:rFonts w:hint="eastAsia" w:ascii="仿宋" w:hAnsi="仿宋" w:eastAsia="仿宋" w:cs="仿宋"/>
          <w:color w:val="auto"/>
          <w:sz w:val="28"/>
          <w:szCs w:val="28"/>
          <w:highlight w:val="none"/>
        </w:rPr>
        <w:t>。</w:t>
      </w:r>
    </w:p>
    <w:p w14:paraId="6594F879">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zh-TW" w:eastAsia="zh-TW"/>
        </w:rPr>
        <w:t>交付条件：按照本项目竞争性谈判、</w:t>
      </w: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lang w:val="zh-TW" w:eastAsia="zh-TW"/>
        </w:rPr>
        <w:t>的响应文件、采购合</w:t>
      </w:r>
      <w:r>
        <w:rPr>
          <w:rFonts w:hint="eastAsia" w:ascii="仿宋" w:hAnsi="仿宋" w:eastAsia="仿宋" w:cs="仿宋"/>
          <w:color w:val="000000"/>
          <w:sz w:val="28"/>
          <w:szCs w:val="28"/>
          <w:highlight w:val="none"/>
          <w:lang w:val="zh-TW" w:eastAsia="zh-TW"/>
        </w:rPr>
        <w:t>同条款等内容</w:t>
      </w:r>
      <w:r>
        <w:rPr>
          <w:rFonts w:hint="eastAsia" w:ascii="仿宋" w:hAnsi="仿宋" w:eastAsia="仿宋" w:cs="仿宋"/>
          <w:color w:val="000000"/>
          <w:sz w:val="28"/>
          <w:szCs w:val="28"/>
          <w:highlight w:val="none"/>
          <w:lang w:val="zh-TW" w:eastAsia="zh-CN"/>
        </w:rPr>
        <w:t>。</w:t>
      </w:r>
    </w:p>
    <w:p w14:paraId="3B61317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zh-TW"/>
        </w:rPr>
        <w:t>四</w:t>
      </w:r>
      <w:r>
        <w:rPr>
          <w:rFonts w:hint="eastAsia" w:ascii="仿宋" w:hAnsi="仿宋" w:eastAsia="仿宋" w:cs="仿宋"/>
          <w:sz w:val="28"/>
          <w:szCs w:val="28"/>
          <w:highlight w:val="none"/>
          <w:lang w:val="zh-TW" w:eastAsia="zh-TW"/>
        </w:rPr>
        <w:t>、服务内容及要</w:t>
      </w:r>
      <w:r>
        <w:rPr>
          <w:rFonts w:hint="eastAsia" w:ascii="仿宋" w:hAnsi="仿宋" w:eastAsia="仿宋" w:cs="仿宋"/>
          <w:color w:val="auto"/>
          <w:sz w:val="28"/>
          <w:szCs w:val="28"/>
          <w:highlight w:val="none"/>
          <w:lang w:val="zh-TW" w:eastAsia="zh-TW"/>
        </w:rPr>
        <w:t>求</w:t>
      </w:r>
      <w:r>
        <w:rPr>
          <w:rFonts w:hint="eastAsia" w:ascii="仿宋" w:hAnsi="仿宋" w:eastAsia="仿宋" w:cs="仿宋"/>
          <w:color w:val="auto"/>
          <w:sz w:val="28"/>
          <w:szCs w:val="28"/>
          <w:highlight w:val="none"/>
          <w:lang w:val="zh-TW"/>
        </w:rPr>
        <w:t>（</w:t>
      </w:r>
      <w:r>
        <w:rPr>
          <w:rFonts w:hint="eastAsia" w:ascii="仿宋" w:hAnsi="仿宋" w:eastAsia="仿宋" w:cs="仿宋"/>
          <w:color w:val="auto"/>
          <w:sz w:val="28"/>
          <w:szCs w:val="28"/>
          <w:highlight w:val="none"/>
        </w:rPr>
        <w:t>根据各单位实际服务要求填写</w:t>
      </w:r>
      <w:r>
        <w:rPr>
          <w:rFonts w:hint="eastAsia" w:ascii="仿宋" w:hAnsi="仿宋" w:eastAsia="仿宋" w:cs="仿宋"/>
          <w:color w:val="auto"/>
          <w:sz w:val="28"/>
          <w:szCs w:val="28"/>
          <w:highlight w:val="none"/>
          <w:lang w:val="zh-TW"/>
        </w:rPr>
        <w:t>）</w:t>
      </w:r>
    </w:p>
    <w:p w14:paraId="75F61635">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一）系统测试要求：本次测试要求涵盖病犯监狱一标段智能化采购项目软硬件系统的性能测试、功能测试、兼容性测试、安全测试、资源占用率、响应时间、可扩充性、故障恢复与容错测试以及用户体验测试等，通过专业工具和人工测试相结合的方式，全面验证应用系统各项设计指标实现的稳定性、可靠性、高效性和安全性。</w:t>
      </w:r>
    </w:p>
    <w:p w14:paraId="16B762F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1</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测试计划</w:t>
      </w:r>
    </w:p>
    <w:p w14:paraId="488320CC">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CN"/>
        </w:rPr>
      </w:pPr>
      <w:r>
        <w:rPr>
          <w:rFonts w:hint="eastAsia" w:ascii="仿宋" w:hAnsi="仿宋" w:eastAsia="仿宋" w:cs="仿宋"/>
          <w:sz w:val="28"/>
          <w:szCs w:val="28"/>
          <w:highlight w:val="none"/>
          <w:lang w:val="zh-TW" w:eastAsia="zh-TW"/>
        </w:rPr>
        <w:t>为了保证项目的顺利实施，从功能度、性能、可靠性、易用性、兼容性、可扩充性和用户文档等方面度量系统质量，项目测试初始，要依据有关的</w:t>
      </w:r>
      <w:r>
        <w:rPr>
          <w:rFonts w:hint="eastAsia" w:ascii="仿宋" w:hAnsi="仿宋" w:eastAsia="仿宋" w:cs="仿宋"/>
          <w:sz w:val="28"/>
          <w:szCs w:val="28"/>
          <w:highlight w:val="none"/>
          <w:lang w:val="zh-TW" w:eastAsia="zh-CN"/>
        </w:rPr>
        <w:t>谈判文件</w:t>
      </w:r>
      <w:r>
        <w:rPr>
          <w:rFonts w:hint="eastAsia" w:ascii="仿宋" w:hAnsi="仿宋" w:eastAsia="仿宋" w:cs="仿宋"/>
          <w:sz w:val="28"/>
          <w:szCs w:val="28"/>
          <w:highlight w:val="none"/>
          <w:lang w:val="zh-TW" w:eastAsia="zh-TW"/>
        </w:rPr>
        <w:t>、</w:t>
      </w:r>
      <w:r>
        <w:rPr>
          <w:rFonts w:hint="eastAsia" w:ascii="仿宋" w:hAnsi="仿宋" w:eastAsia="仿宋" w:cs="仿宋"/>
          <w:sz w:val="28"/>
          <w:szCs w:val="28"/>
          <w:highlight w:val="none"/>
          <w:lang w:val="en-US" w:eastAsia="zh-CN"/>
        </w:rPr>
        <w:t>响应</w:t>
      </w:r>
      <w:r>
        <w:rPr>
          <w:rFonts w:hint="eastAsia" w:ascii="仿宋" w:hAnsi="仿宋" w:eastAsia="仿宋" w:cs="仿宋"/>
          <w:sz w:val="28"/>
          <w:szCs w:val="28"/>
          <w:highlight w:val="none"/>
          <w:lang w:val="zh-TW" w:eastAsia="zh-TW"/>
        </w:rPr>
        <w:t>文件、合同和设计单位制定的技术规范书</w:t>
      </w:r>
      <w:r>
        <w:rPr>
          <w:rFonts w:hint="eastAsia" w:ascii="仿宋" w:hAnsi="仿宋" w:eastAsia="仿宋" w:cs="仿宋"/>
          <w:sz w:val="28"/>
          <w:szCs w:val="28"/>
          <w:highlight w:val="none"/>
          <w:lang w:val="zh-TW" w:eastAsia="zh-CN"/>
        </w:rPr>
        <w:t>（</w:t>
      </w:r>
      <w:r>
        <w:rPr>
          <w:rFonts w:hint="eastAsia" w:ascii="仿宋" w:hAnsi="仿宋" w:eastAsia="仿宋" w:cs="仿宋"/>
          <w:sz w:val="28"/>
          <w:szCs w:val="28"/>
          <w:highlight w:val="none"/>
          <w:lang w:val="en-US" w:eastAsia="zh-CN"/>
        </w:rPr>
        <w:t>技术需求书</w:t>
      </w:r>
      <w:r>
        <w:rPr>
          <w:rFonts w:hint="eastAsia" w:ascii="仿宋" w:hAnsi="仿宋" w:eastAsia="仿宋" w:cs="仿宋"/>
          <w:sz w:val="28"/>
          <w:szCs w:val="28"/>
          <w:highlight w:val="none"/>
          <w:lang w:val="zh-TW" w:eastAsia="zh-CN"/>
        </w:rPr>
        <w:t>）</w:t>
      </w:r>
      <w:r>
        <w:rPr>
          <w:rFonts w:hint="eastAsia" w:ascii="仿宋" w:hAnsi="仿宋" w:eastAsia="仿宋" w:cs="仿宋"/>
          <w:sz w:val="28"/>
          <w:szCs w:val="28"/>
          <w:highlight w:val="none"/>
          <w:lang w:val="zh-TW" w:eastAsia="zh-TW"/>
        </w:rPr>
        <w:t>，对项目需要投入的测试人员、测试时间以及测试的内容进行安排</w:t>
      </w:r>
      <w:r>
        <w:rPr>
          <w:rFonts w:hint="eastAsia" w:ascii="仿宋" w:hAnsi="仿宋" w:eastAsia="仿宋" w:cs="仿宋"/>
          <w:sz w:val="28"/>
          <w:szCs w:val="28"/>
          <w:highlight w:val="none"/>
          <w:lang w:val="zh-TW" w:eastAsia="zh-CN"/>
        </w:rPr>
        <w:t>。</w:t>
      </w:r>
    </w:p>
    <w:p w14:paraId="1E7E7F06">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2</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测试方案提交</w:t>
      </w:r>
    </w:p>
    <w:p w14:paraId="1E6084DB">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根据实际系统及相关文档要求，分析测试需求点，按照测试标准，设计测试方案，测试策略。测试方案需经过评审后，按照方案执行测试。</w:t>
      </w:r>
    </w:p>
    <w:p w14:paraId="55F9251B">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3</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测试用例提交</w:t>
      </w:r>
    </w:p>
    <w:p w14:paraId="36A2E9C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根据项目的需求文档，编写测试用例。测试用例经过评审后，需根据评审要求修改。以最终确定的测试用例来执行测试。</w:t>
      </w:r>
    </w:p>
    <w:p w14:paraId="5A206862">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4</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测试问题提交</w:t>
      </w:r>
    </w:p>
    <w:p w14:paraId="36D64493">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在项目测试过程中，如发现项目相关缺陷，应与</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eastAsia="zh-TW"/>
        </w:rPr>
        <w:t>以及施工方进行沟通，并且在测试期间，每日向</w:t>
      </w:r>
      <w:r>
        <w:rPr>
          <w:rFonts w:hint="eastAsia" w:ascii="仿宋" w:hAnsi="仿宋" w:eastAsia="仿宋" w:cs="仿宋"/>
          <w:sz w:val="28"/>
          <w:szCs w:val="28"/>
          <w:highlight w:val="none"/>
          <w:lang w:val="zh-TW" w:eastAsia="zh-CN"/>
        </w:rPr>
        <w:t>甲方</w:t>
      </w:r>
      <w:r>
        <w:rPr>
          <w:rFonts w:hint="eastAsia" w:ascii="仿宋" w:hAnsi="仿宋" w:eastAsia="仿宋" w:cs="仿宋"/>
          <w:sz w:val="28"/>
          <w:szCs w:val="28"/>
          <w:highlight w:val="none"/>
          <w:lang w:val="zh-TW" w:eastAsia="zh-TW"/>
        </w:rPr>
        <w:t>提交当天的测试情况汇总表以及项目进度总结日报。</w:t>
      </w:r>
    </w:p>
    <w:p w14:paraId="15A4B48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5</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回归测试</w:t>
      </w:r>
    </w:p>
    <w:p w14:paraId="3C4A8A56">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开发方在修改完成所有缺陷后，提交版本，测试人员应于7个工作日内将所有缺陷复测，复测通过后完成回归测试并提交缺陷报告。开发方修改缺陷所需的时间，不计入中标方的合同履行期限内。</w:t>
      </w:r>
    </w:p>
    <w:p w14:paraId="59609B8F">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6</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测试进度控制</w:t>
      </w:r>
    </w:p>
    <w:p w14:paraId="35F6157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在测试过程中，如发现项目测试工作因不确定因素（如施工方未及时整改项目缺陷，测试环境有问题等）未能按测试计划进行时，应及时向</w:t>
      </w:r>
      <w:r>
        <w:rPr>
          <w:rFonts w:hint="eastAsia" w:ascii="仿宋" w:hAnsi="仿宋" w:eastAsia="仿宋" w:cs="仿宋"/>
          <w:sz w:val="28"/>
          <w:szCs w:val="28"/>
          <w:highlight w:val="none"/>
          <w:lang w:val="zh-TW" w:eastAsia="zh-CN"/>
        </w:rPr>
        <w:t>甲方</w:t>
      </w:r>
      <w:r>
        <w:rPr>
          <w:rFonts w:hint="eastAsia" w:ascii="仿宋" w:hAnsi="仿宋" w:eastAsia="仿宋" w:cs="仿宋"/>
          <w:sz w:val="28"/>
          <w:szCs w:val="28"/>
          <w:highlight w:val="none"/>
          <w:lang w:val="zh-TW" w:eastAsia="zh-TW"/>
        </w:rPr>
        <w:t>书面反馈，并采取必要措施加快测试进度，以保证项目的测试进度。</w:t>
      </w:r>
    </w:p>
    <w:p w14:paraId="61C3619B">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7</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测试风险控制</w:t>
      </w:r>
    </w:p>
    <w:p w14:paraId="4013A8E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在项目测试过程中，有可能会出现一些不可避免的风险，在测试之前，应该提前将风险告知</w:t>
      </w:r>
      <w:r>
        <w:rPr>
          <w:rFonts w:hint="eastAsia" w:ascii="仿宋" w:hAnsi="仿宋" w:eastAsia="仿宋" w:cs="仿宋"/>
          <w:sz w:val="28"/>
          <w:szCs w:val="28"/>
          <w:highlight w:val="none"/>
          <w:lang w:val="zh-TW" w:eastAsia="zh-CN"/>
        </w:rPr>
        <w:t>甲方</w:t>
      </w:r>
      <w:r>
        <w:rPr>
          <w:rFonts w:hint="eastAsia" w:ascii="仿宋" w:hAnsi="仿宋" w:eastAsia="仿宋" w:cs="仿宋"/>
          <w:sz w:val="28"/>
          <w:szCs w:val="28"/>
          <w:highlight w:val="none"/>
          <w:lang w:val="zh-TW" w:eastAsia="zh-TW"/>
        </w:rPr>
        <w:t>，以便将风险降到最低。</w:t>
      </w:r>
    </w:p>
    <w:p w14:paraId="1B0B213B">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lang w:val="zh-TW" w:eastAsia="zh-TW"/>
        </w:rPr>
        <w:t>在收到所需的技术资料和具备工作环境后的</w:t>
      </w:r>
      <w:r>
        <w:rPr>
          <w:rFonts w:hint="eastAsia" w:ascii="仿宋" w:hAnsi="仿宋" w:eastAsia="仿宋" w:cs="仿宋"/>
          <w:sz w:val="28"/>
          <w:szCs w:val="28"/>
          <w:highlight w:val="none"/>
          <w:lang w:val="en-US" w:eastAsia="zh-CN"/>
        </w:rPr>
        <w:t>90个日历日</w:t>
      </w:r>
      <w:r>
        <w:rPr>
          <w:rFonts w:hint="eastAsia" w:ascii="仿宋" w:hAnsi="仿宋" w:eastAsia="仿宋" w:cs="仿宋"/>
          <w:sz w:val="28"/>
          <w:szCs w:val="28"/>
          <w:highlight w:val="none"/>
          <w:lang w:val="zh-TW" w:eastAsia="zh-TW"/>
        </w:rPr>
        <w:t>内(不含系统整改时间)</w:t>
      </w:r>
      <w:r>
        <w:rPr>
          <w:rFonts w:hint="eastAsia" w:ascii="仿宋" w:hAnsi="仿宋" w:eastAsia="仿宋" w:cs="仿宋"/>
          <w:sz w:val="28"/>
          <w:szCs w:val="28"/>
          <w:highlight w:val="none"/>
          <w:lang w:val="en-US" w:eastAsia="zh-CN"/>
        </w:rPr>
        <w:t>提交</w:t>
      </w:r>
      <w:r>
        <w:rPr>
          <w:rFonts w:hint="eastAsia" w:ascii="仿宋" w:hAnsi="仿宋" w:eastAsia="仿宋" w:cs="仿宋"/>
          <w:sz w:val="28"/>
          <w:szCs w:val="28"/>
          <w:highlight w:val="none"/>
          <w:vertAlign w:val="baseline"/>
          <w:lang w:val="en-US" w:eastAsia="zh-CN"/>
        </w:rPr>
        <w:t>国家认可的检测机构出具的</w:t>
      </w:r>
      <w:r>
        <w:rPr>
          <w:rFonts w:hint="eastAsia" w:ascii="仿宋" w:hAnsi="仿宋" w:eastAsia="仿宋" w:cs="仿宋"/>
          <w:sz w:val="28"/>
          <w:szCs w:val="28"/>
          <w:highlight w:val="none"/>
          <w:lang w:val="en-US" w:eastAsia="zh-CN"/>
        </w:rPr>
        <w:t>检测报告。</w:t>
      </w:r>
    </w:p>
    <w:p w14:paraId="2F54543A">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二）网络安全等级保护测评要求：依据国家信息安全等级保护相关标准与规定，对病犯监狱一标段智能化采购项目进行全面的信息安全评估。测评范围必须涵盖但不限于物理安全、网络安全、主机安全、应用安全以及数据安全等关键领域，确保项目中各系统及其子系统在信息安全方面得到无死角的全面审查与评估，找出信息系统当前的安全保护水平与国家标准之间的差距，排查安全隐患，并提出整改建议，出具等级测评报告，完成等保备案。</w:t>
      </w:r>
    </w:p>
    <w:p w14:paraId="74B80EB6">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乙方应在对甲方系统详细了解的基础上，编制针对性的等级保护测评整体实施方案，包括项目概述、等保测评范围和内容、项目实施流程、测试过程中需使用测试设备清单、时间安排、阶段性文档提交和验收标准等。</w:t>
      </w:r>
    </w:p>
    <w:p w14:paraId="4C48018C">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2.本次等级保护测评实施过程中所使用到的各种工具软件由乙方推荐，经甲方确认后由乙方提供并在测评中使用。</w:t>
      </w:r>
    </w:p>
    <w:p w14:paraId="436856F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在测评过程中采用的测评方法、测评所使用的工具以及其他测评过程中涉及的事项均需要符合信息安全等级保护主管部门要求，包括但不限于网络隐患检测工具、数据库漏洞检测工具、应用安全检测工具、网站安全检测工具等，具体如下：</w:t>
      </w:r>
    </w:p>
    <w:p w14:paraId="2C42A1C1">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3.1协助甲方开展信息系统的定级与备案工作根据国家和行业信息安全要求，结合甲方实际安全需求，按照国家有关管理规范和标准要求，细致分析各信息系统及管理边界，合理划分信息系统范围，科学开展信息系统重要性程度分析，准确判定信息系统安全等级，编制《定级报告》、《备案表》和《信息系统资产清单及资产报告》，并按照定级备案流程，向主管部门、监管机关就信息系统定级进行审批备案，使甲方顺利获得监管机关颁发的《信息系统安全等级保护备案证明》。工作过程文件及项目交付成果（包括但不限于）：系统定级报告、备案材料。</w:t>
      </w:r>
    </w:p>
    <w:p w14:paraId="21E92EE4">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3.2严格遵照信息系统等级保护测评的各荐法规要求，对所服务的项目进行信息系统等级保护测评服务。测评内容包括：</w:t>
      </w:r>
    </w:p>
    <w:p w14:paraId="76CD5D4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安全物理环境：包括物理位置选择、物理访问控制、防盗窃和防破坏、防 雷击、防火、防水和防潮、防静电、温湿度控制、电力供应、电磁防护方面。</w:t>
      </w:r>
    </w:p>
    <w:p w14:paraId="4B70BC09">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安全通信网络：包括网络架构、通信传输、可信验证方面。</w:t>
      </w:r>
    </w:p>
    <w:p w14:paraId="76684315">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安全区域边界：包括边界防护、访问控制、入侵防范、恶意代码和垃圾邮件防范、安全审计、可信验证方面。</w:t>
      </w:r>
    </w:p>
    <w:p w14:paraId="0F7B0BA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安全计算环境：包括身份鉴别、访问控制、安全审计、入侵防范、恶意代码防范、可信验证、数据完整性、数据保密性、数据备份恢复、剩余信息保护、个人信息保护方面。</w:t>
      </w:r>
    </w:p>
    <w:p w14:paraId="6F6FFD7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安全管理中心：包括系统管理、审计管理、安全管理、集中管控方面。</w:t>
      </w:r>
    </w:p>
    <w:p w14:paraId="768526F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安全管理制度：包括安全策略、管理制度、制定和发布、评审和修订方面。</w:t>
      </w:r>
    </w:p>
    <w:p w14:paraId="3F255110">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安全管理机构：包括岗位设置、人员配备、授权和审批、沟通和合作、审核和检查方面。</w:t>
      </w:r>
    </w:p>
    <w:p w14:paraId="6C0B810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安全管理人员：人员上岗、人员离岗、安全意识教育和培训、外部人员访问管理方面。</w:t>
      </w:r>
    </w:p>
    <w:p w14:paraId="248B89A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安全建设管理：定级和备案、安全方案设计、产品采购和使用、自行软件开发、外包软件开发、工程实施、测试验收、系统交付、等级测评、服务供应商选择方面。</w:t>
      </w:r>
    </w:p>
    <w:p w14:paraId="39C02E93">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安全运维管理：环境管理、资产管理、介质管理、设备维护管理、漏洞和风险管理、网络和系统安全管理、恶意代码防范管理、配置管理、密码管理、变更管理、备份和恢复管理、安全事件处置、应急预案管理、外包运维管理方面。</w:t>
      </w:r>
    </w:p>
    <w:p w14:paraId="061C9992">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4.乙方应在接收一标段智能化采购项目安全测评服务（等保）全部相关材料后90个日历日内(不含系统整改时间)，完成项目安全测评全流程工作并出具正式的《信息安全等级保护测评报告》。前述90个日历日的服务周期内，乙方需同步完成测评测试方案及计划的编制工作，测试方案及计划须提前提交甲方审核，在获得甲方书面同意和认可后方可启动现场测评执行工作。乙方所出具的《信息安全等级保护测评报告》，须严格依据国家《信息安全等级保护基本要求》（GB/T 22239-2019）编制，且由具备公安部第三研究所颁发的网络安全等级测评与检测评估机构服务认证资质的合法机构出具，确保报告符合监管部门等保合规验收要求。</w:t>
      </w:r>
    </w:p>
    <w:p w14:paraId="48CAFD13">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5.乙方应协助甲方、系统建设方共同确认应纳入等保定级备案的信息系统清单与数量整合工作，</w:t>
      </w:r>
      <w:r>
        <w:rPr>
          <w:rFonts w:hint="eastAsia" w:ascii="仿宋" w:hAnsi="仿宋" w:eastAsia="仿宋" w:cs="仿宋"/>
          <w:sz w:val="28"/>
          <w:szCs w:val="28"/>
          <w:highlight w:val="none"/>
          <w:lang w:val="zh-TW" w:eastAsia="zh-TW"/>
        </w:rPr>
        <w:t>项目涉及的信息系统定级环节，由</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eastAsia="zh-TW"/>
        </w:rPr>
        <w:t>负责组织</w:t>
      </w:r>
      <w:r>
        <w:rPr>
          <w:rFonts w:hint="eastAsia" w:ascii="仿宋" w:hAnsi="仿宋" w:eastAsia="仿宋" w:cs="仿宋"/>
          <w:sz w:val="28"/>
          <w:szCs w:val="28"/>
          <w:highlight w:val="none"/>
          <w:lang w:val="en-US" w:eastAsia="zh-CN"/>
        </w:rPr>
        <w:t>专家参</w:t>
      </w:r>
      <w:r>
        <w:rPr>
          <w:rFonts w:hint="eastAsia" w:ascii="仿宋" w:hAnsi="仿宋" w:eastAsia="仿宋" w:cs="仿宋"/>
          <w:sz w:val="28"/>
          <w:szCs w:val="28"/>
          <w:highlight w:val="none"/>
          <w:lang w:val="zh-TW" w:eastAsia="zh-TW"/>
        </w:rPr>
        <w:t>完成定级</w:t>
      </w:r>
      <w:r>
        <w:rPr>
          <w:rFonts w:hint="eastAsia" w:ascii="仿宋" w:hAnsi="仿宋" w:eastAsia="仿宋" w:cs="仿宋"/>
          <w:sz w:val="28"/>
          <w:szCs w:val="28"/>
          <w:highlight w:val="none"/>
          <w:lang w:val="en-US" w:eastAsia="zh-CN"/>
        </w:rPr>
        <w:t>评审论证，</w:t>
      </w:r>
      <w:r>
        <w:rPr>
          <w:rFonts w:hint="eastAsia" w:ascii="仿宋" w:hAnsi="仿宋" w:eastAsia="仿宋" w:cs="仿宋"/>
          <w:sz w:val="28"/>
          <w:szCs w:val="28"/>
          <w:highlight w:val="none"/>
          <w:lang w:val="zh-TW" w:eastAsia="zh-TW"/>
        </w:rPr>
        <w:t>该环节产生的专家劳务费、评审相关配套费用已全额包含在本项目投标总价中，</w:t>
      </w:r>
      <w:r>
        <w:rPr>
          <w:rFonts w:hint="eastAsia" w:ascii="仿宋" w:hAnsi="仿宋" w:eastAsia="仿宋" w:cs="仿宋"/>
          <w:sz w:val="28"/>
          <w:szCs w:val="28"/>
          <w:highlight w:val="none"/>
          <w:lang w:val="zh-TW" w:eastAsia="zh-CN"/>
        </w:rPr>
        <w:t>甲方</w:t>
      </w:r>
      <w:r>
        <w:rPr>
          <w:rFonts w:hint="eastAsia" w:ascii="仿宋" w:hAnsi="仿宋" w:eastAsia="仿宋" w:cs="仿宋"/>
          <w:sz w:val="28"/>
          <w:szCs w:val="28"/>
          <w:highlight w:val="none"/>
          <w:lang w:val="zh-TW" w:eastAsia="zh-TW"/>
        </w:rPr>
        <w:t>无需另行支付任何费用</w:t>
      </w:r>
      <w:r>
        <w:rPr>
          <w:rFonts w:hint="eastAsia" w:ascii="仿宋" w:hAnsi="仿宋" w:eastAsia="仿宋" w:cs="仿宋"/>
          <w:sz w:val="28"/>
          <w:szCs w:val="28"/>
          <w:highlight w:val="none"/>
          <w:lang w:val="en-US" w:eastAsia="zh-CN"/>
        </w:rPr>
        <w:t>。</w:t>
      </w:r>
    </w:p>
    <w:p w14:paraId="6144C4D1">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6.乙方等保资产分析服务、等保风险分析服务、等保差距评估服务、等保制度编制辅导服务、安全策略复查服务、等保备案辅助服务等，服务内容参照国家等级保护相关标准和行业规范。</w:t>
      </w:r>
    </w:p>
    <w:p w14:paraId="0EAAA2A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根据《福建省病犯监狱（福建省建新医院）一标段智能化系统采购项目技术需求书》对于系统安全保护等级确定的说明：本项目对部署在设备专网的视频监控系统、一卡通管理系统、广播系统、监仓对讲系统、报警系统、会见系统和智能化集成综合管理平台等需求方要求的系统应按照等保2.0三级等保的相关要求进行建设。乙方须严格依据国家网络安全等级保护三级相关标准规范，通过全流程专业测评，出具安全加固方案与整改指导建议，最终保障本项目整体智能化大系统及全部子系统均满足网络安全等级保护三级防护要求，取得对应的网络安全等级保护三级备案证明与测评合格报告。</w:t>
      </w:r>
    </w:p>
    <w:p w14:paraId="5FCD8996">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三）商用密码应用安全性评估要求：依据国家商用密码相关标准和规范，围绕商用密码应用安全，从物理和环境安全、网络和通信安全、设备和计算安全、应用和数据安全四个技术层面进行检测和验证，从管理制度、人员管理、建设运行和应急处置四个方面进行评估，依据统一的报告模板出具密码应用安全性评估报告。</w:t>
      </w:r>
    </w:p>
    <w:p w14:paraId="0C76434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1</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根据《中华人民共和国密码法》、《中华人民共和国网络安全法》、《国家政务信息化项目建设管理办法》、《信息安全技术信息系统密码应用基本要求》（GB/T</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val="zh-TW" w:eastAsia="zh-TW"/>
        </w:rPr>
        <w:t>39786-2021）、《商用密码应用安全性评估管理办法（试行）》、《贯彻落实网络安全等保制度和关保制度的指导意见》（公安部1960号）、《福建省密码管理局关于加强商用密码应用安全性评估工作的通知》等法律法规、制度和规范，开展商用密码应用安全性评估（简称“密评”）。</w:t>
      </w:r>
    </w:p>
    <w:p w14:paraId="0B78FBFA">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2</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lang w:val="zh-TW" w:eastAsia="zh-TW"/>
        </w:rPr>
        <w:t>依据《信息安全技术信息系统密码应用基本要求》（GB/T</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val="zh-TW" w:eastAsia="zh-TW"/>
        </w:rPr>
        <w:t>39786-2021）、《信息系统密码</w:t>
      </w:r>
      <w:r>
        <w:rPr>
          <w:rFonts w:hint="eastAsia" w:ascii="仿宋" w:hAnsi="仿宋" w:eastAsia="仿宋" w:cs="仿宋"/>
          <w:sz w:val="28"/>
          <w:szCs w:val="28"/>
          <w:highlight w:val="none"/>
          <w:lang w:val="en-US" w:eastAsia="zh-CN"/>
        </w:rPr>
        <w:t>应用</w:t>
      </w:r>
      <w:r>
        <w:rPr>
          <w:rFonts w:hint="eastAsia" w:ascii="仿宋" w:hAnsi="仿宋" w:eastAsia="仿宋" w:cs="仿宋"/>
          <w:sz w:val="28"/>
          <w:szCs w:val="28"/>
          <w:highlight w:val="none"/>
          <w:lang w:val="zh-TW" w:eastAsia="zh-TW"/>
        </w:rPr>
        <w:t>测评要求》</w:t>
      </w:r>
      <w:r>
        <w:rPr>
          <w:rFonts w:hint="eastAsia" w:ascii="仿宋" w:hAnsi="仿宋" w:eastAsia="仿宋" w:cs="仿宋"/>
          <w:sz w:val="28"/>
          <w:szCs w:val="28"/>
          <w:highlight w:val="none"/>
          <w:lang w:val="zh-TW" w:eastAsia="zh-CN"/>
        </w:rPr>
        <w:t>、</w:t>
      </w:r>
      <w:r>
        <w:rPr>
          <w:rFonts w:hint="eastAsia" w:ascii="仿宋" w:hAnsi="仿宋" w:eastAsia="仿宋" w:cs="仿宋"/>
          <w:sz w:val="28"/>
          <w:szCs w:val="28"/>
          <w:highlight w:val="none"/>
          <w:lang w:val="zh-TW" w:eastAsia="zh-TW"/>
        </w:rPr>
        <w:t>《商用密码应用安全性评估测评过程指南》《商用密码应用安全性评估测评作业指导书（试行）》和被测系统的安全需求分析，对被测系统进行商用密码应用安全性评估，为重要网络和信息系统的密码安全提供科学评价，规范采购单位的密码使用和管理行为，推动提升密码应用水平。</w:t>
      </w:r>
    </w:p>
    <w:p w14:paraId="1C050AD9">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3</w:t>
      </w:r>
      <w:r>
        <w:rPr>
          <w:rFonts w:hint="eastAsia" w:ascii="仿宋" w:hAnsi="仿宋" w:eastAsia="仿宋" w:cs="仿宋"/>
          <w:sz w:val="28"/>
          <w:szCs w:val="28"/>
          <w:highlight w:val="none"/>
          <w:lang w:val="en-US" w:eastAsia="zh-CN"/>
        </w:rPr>
        <w:t>.具体评估服务内容如下：</w:t>
      </w:r>
    </w:p>
    <w:p w14:paraId="16E32948">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3.1物理和环境</w:t>
      </w:r>
      <w:r>
        <w:rPr>
          <w:rFonts w:hint="eastAsia" w:ascii="仿宋" w:hAnsi="仿宋" w:eastAsia="仿宋" w:cs="仿宋"/>
          <w:sz w:val="28"/>
          <w:szCs w:val="28"/>
          <w:highlight w:val="none"/>
          <w:lang w:val="en-US" w:eastAsia="zh-CN"/>
        </w:rPr>
        <w:t>安全</w:t>
      </w:r>
      <w:r>
        <w:rPr>
          <w:rFonts w:hint="eastAsia" w:ascii="仿宋" w:hAnsi="仿宋" w:eastAsia="仿宋" w:cs="仿宋"/>
          <w:sz w:val="28"/>
          <w:szCs w:val="28"/>
          <w:highlight w:val="none"/>
          <w:lang w:val="zh-TW" w:eastAsia="zh-TW"/>
        </w:rPr>
        <w:t>测评内容：身份鉴别、电子门禁记录数据的完整性、视频记录数据完整性、密码模块实现。</w:t>
      </w:r>
    </w:p>
    <w:p w14:paraId="7B810C6C">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zh-TW" w:eastAsia="zh-TW"/>
        </w:rPr>
        <w:t>3.2网络和通信</w:t>
      </w:r>
      <w:r>
        <w:rPr>
          <w:rFonts w:hint="eastAsia" w:ascii="仿宋" w:hAnsi="仿宋" w:eastAsia="仿宋" w:cs="仿宋"/>
          <w:sz w:val="28"/>
          <w:szCs w:val="28"/>
          <w:highlight w:val="none"/>
          <w:lang w:val="en-US" w:eastAsia="zh-CN"/>
        </w:rPr>
        <w:t>安全</w:t>
      </w:r>
      <w:r>
        <w:rPr>
          <w:rFonts w:hint="eastAsia" w:ascii="仿宋" w:hAnsi="仿宋" w:eastAsia="仿宋" w:cs="仿宋"/>
          <w:sz w:val="28"/>
          <w:szCs w:val="28"/>
          <w:highlight w:val="none"/>
          <w:lang w:val="zh-TW" w:eastAsia="zh-TW"/>
        </w:rPr>
        <w:t>测评内容：身份鉴别、内部网络安全接入、通信数据完整性、通信数据机密性、网络边界访问控制信息的完整性、集中管理通道安全、密码模块实现。</w:t>
      </w:r>
    </w:p>
    <w:p w14:paraId="7D7F31F2">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3.3设备和计算安全测评内容：身份鉴别、远程管理通道安全、远程管理通道安全、重要信息资源安全标记完整性、日志记录完整性、重要可执行程序完整性、重要可执行程序来源真实性。</w:t>
      </w:r>
    </w:p>
    <w:p w14:paraId="6CFBD386">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3.4应用和数据安全测评内容：身份鉴别、访问控制信息完整性、访问控制信息完整性、重要信息资源安全标记完整性、重要数据传输完整性、重要数据存储机密性、重要数据传输完整性、重要数据存储完整性、不可否认性。</w:t>
      </w:r>
    </w:p>
    <w:p w14:paraId="567EC77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3.5管理制度测评内容：具备密码应用安全管理制度、密钥管理规则、建立操作规程、定期修订安全管理制度、明确管理制度发布流程、制度执行过程记录留存。</w:t>
      </w:r>
    </w:p>
    <w:p w14:paraId="19FAD80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3.6人员管理测评内容：了解并遵守密码相关法律法规和密码管理制度、建立密码应用岗位责任制度、建立上岗人员培训制度、定期进行安全岗位人员考核、建立关键岗位人员保密制度和调离制度。</w:t>
      </w:r>
    </w:p>
    <w:p w14:paraId="3A6E2E7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3.7建设运行测评内容：制定密码应用方案、制定密钥安全管理策略、制定实施方案、投入运行前进行密码应用安全性评估、定期开展密码应用安全性评估及攻防对抗演习。</w:t>
      </w:r>
    </w:p>
    <w:p w14:paraId="75DD021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3.8应急处置测评内容：应急策略、事件处置、向有关主管部门上报处置情况。</w:t>
      </w:r>
    </w:p>
    <w:p w14:paraId="4FA9BDD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val="zh-TW" w:eastAsia="zh-TW"/>
        </w:rPr>
        <w:t>服务成果</w:t>
      </w:r>
    </w:p>
    <w:p w14:paraId="4096FD9C">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由在国家密码管理局网站，国家密码管理局公告（49号）《商用密码检测机构（商用密码应用安全性评估业务）目录》中的商用密码检测机构（商用密码应用安全性评估业务）完成商用密码应用安全性评估，</w:t>
      </w:r>
      <w:r>
        <w:rPr>
          <w:rFonts w:hint="eastAsia" w:ascii="仿宋" w:hAnsi="仿宋" w:eastAsia="仿宋" w:cs="仿宋"/>
          <w:sz w:val="28"/>
          <w:szCs w:val="28"/>
          <w:highlight w:val="none"/>
          <w:lang w:val="zh-TW" w:eastAsia="zh-TW"/>
        </w:rPr>
        <w:t>在收到所需的技术资料和具备工作环境后的</w:t>
      </w:r>
      <w:r>
        <w:rPr>
          <w:rFonts w:hint="eastAsia" w:ascii="仿宋" w:hAnsi="仿宋" w:eastAsia="仿宋" w:cs="仿宋"/>
          <w:sz w:val="28"/>
          <w:szCs w:val="28"/>
          <w:highlight w:val="none"/>
          <w:lang w:val="en-US" w:eastAsia="zh-CN"/>
        </w:rPr>
        <w:t>90个日历日</w:t>
      </w:r>
      <w:r>
        <w:rPr>
          <w:rFonts w:hint="eastAsia" w:ascii="仿宋" w:hAnsi="仿宋" w:eastAsia="仿宋" w:cs="仿宋"/>
          <w:sz w:val="28"/>
          <w:szCs w:val="28"/>
          <w:highlight w:val="none"/>
          <w:lang w:val="zh-TW" w:eastAsia="zh-TW"/>
        </w:rPr>
        <w:t>内(不含系统整改时间)</w:t>
      </w:r>
      <w:r>
        <w:rPr>
          <w:rFonts w:hint="eastAsia" w:ascii="仿宋" w:hAnsi="仿宋" w:eastAsia="仿宋" w:cs="仿宋"/>
          <w:sz w:val="28"/>
          <w:szCs w:val="28"/>
          <w:highlight w:val="none"/>
          <w:lang w:val="en-US" w:eastAsia="zh-CN"/>
        </w:rPr>
        <w:t>出具《商用密码应用安全性评估报告》。</w:t>
      </w:r>
    </w:p>
    <w:p w14:paraId="0F049DB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（四）信创符合性测试：</w:t>
      </w:r>
    </w:p>
    <w:p w14:paraId="41C3E1E2">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1.根据福建省数据管理局 福建省密码管理局《关于开展省级政务信息化项目信创符合性测试工作的通知》（闽数据〔2025〕47号）及福建省信息技术应用创新相关政策要求，本项目须同步开展信创符合性测试，作为项目配套测试测评服务内容之一。乙方须自身具备省级及以上信创适配中心认可的信创符合性测试能力，承诺出具符合福建省及行业监管要求的正式测试报告；或承诺在成交后，统筹落实并全过程管理具备相应测试能力与资质的专业机构完成本项测试服务，确保测试过程、测试结果及最终报告均满足甲方要求及福建省信创相关政策规定，最终测试报告须经相关部门审核并完成备案。</w:t>
      </w:r>
    </w:p>
    <w:p w14:paraId="449E85DE">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val="zh-TW" w:eastAsia="zh-TW"/>
        </w:rPr>
        <w:t>服务成果</w:t>
      </w:r>
    </w:p>
    <w:p w14:paraId="5C71519D">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eastAsia="zh-TW"/>
        </w:rPr>
        <w:t>在收到所需的技术资料和具备工作环境后的</w:t>
      </w:r>
      <w:r>
        <w:rPr>
          <w:rFonts w:hint="eastAsia" w:ascii="仿宋" w:hAnsi="仿宋" w:eastAsia="仿宋" w:cs="仿宋"/>
          <w:sz w:val="28"/>
          <w:szCs w:val="28"/>
          <w:highlight w:val="none"/>
          <w:lang w:val="en-US" w:eastAsia="zh-CN"/>
        </w:rPr>
        <w:t>90个日历日</w:t>
      </w:r>
      <w:r>
        <w:rPr>
          <w:rFonts w:hint="eastAsia" w:ascii="仿宋" w:hAnsi="仿宋" w:eastAsia="仿宋" w:cs="仿宋"/>
          <w:sz w:val="28"/>
          <w:szCs w:val="28"/>
          <w:highlight w:val="none"/>
          <w:lang w:val="zh-TW" w:eastAsia="zh-TW"/>
        </w:rPr>
        <w:t>内(不含系统整改时间)完成信息技术应用创新改造项目符合性测试，并出具《信息技术应用创新符合性测试报告》</w:t>
      </w:r>
      <w:r>
        <w:rPr>
          <w:rFonts w:hint="eastAsia" w:ascii="仿宋" w:hAnsi="仿宋" w:eastAsia="仿宋" w:cs="仿宋"/>
          <w:sz w:val="28"/>
          <w:szCs w:val="28"/>
          <w:highlight w:val="none"/>
          <w:lang w:val="zh-TW" w:eastAsia="zh-CN"/>
        </w:rPr>
        <w:t>，</w:t>
      </w:r>
      <w:r>
        <w:rPr>
          <w:rFonts w:hint="eastAsia" w:ascii="仿宋" w:hAnsi="仿宋" w:eastAsia="仿宋" w:cs="仿宋"/>
          <w:sz w:val="28"/>
          <w:szCs w:val="28"/>
          <w:highlight w:val="none"/>
          <w:lang w:val="zh-TW" w:eastAsia="zh-TW"/>
        </w:rPr>
        <w:t>所有费用包含在投标报价中。</w:t>
      </w:r>
    </w:p>
    <w:p w14:paraId="31F5B68B">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2" w:firstLineChars="200"/>
        <w:jc w:val="both"/>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（五）技术服务质量要求</w:t>
      </w:r>
    </w:p>
    <w:p w14:paraId="2CF612C5">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outlineLvl w:val="9"/>
        <w:rPr>
          <w:rFonts w:hint="eastAsia" w:ascii="仿宋" w:hAnsi="仿宋" w:eastAsia="仿宋" w:cs="仿宋"/>
          <w:b/>
          <w:bCs w:val="0"/>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1.为保证服务质量，投入的测试测评团队人员</w:t>
      </w:r>
      <w:r>
        <w:rPr>
          <w:rFonts w:hint="eastAsia" w:ascii="仿宋" w:hAnsi="仿宋" w:eastAsia="仿宋" w:cs="仿宋"/>
          <w:b w:val="0"/>
          <w:bCs/>
          <w:color w:val="auto"/>
          <w:sz w:val="28"/>
          <w:szCs w:val="28"/>
          <w:highlight w:val="none"/>
          <w:u w:val="single"/>
          <w:lang w:val="en-US" w:eastAsia="zh-CN"/>
        </w:rPr>
        <w:t xml:space="preserve">     人</w:t>
      </w:r>
      <w:r>
        <w:rPr>
          <w:rFonts w:hint="eastAsia" w:ascii="仿宋" w:hAnsi="仿宋" w:eastAsia="仿宋" w:cs="仿宋"/>
          <w:b w:val="0"/>
          <w:bCs/>
          <w:color w:val="auto"/>
          <w:sz w:val="28"/>
          <w:szCs w:val="28"/>
          <w:highlight w:val="none"/>
          <w:u w:val="none"/>
          <w:lang w:val="en-US" w:eastAsia="zh-CN"/>
        </w:rPr>
        <w:t>（不少于6人）</w:t>
      </w:r>
      <w:r>
        <w:rPr>
          <w:rFonts w:hint="eastAsia" w:ascii="仿宋" w:hAnsi="仿宋" w:eastAsia="仿宋" w:cs="仿宋"/>
          <w:b w:val="0"/>
          <w:bCs/>
          <w:color w:val="auto"/>
          <w:sz w:val="28"/>
          <w:szCs w:val="28"/>
          <w:highlight w:val="none"/>
          <w:lang w:val="en-US" w:eastAsia="zh-CN"/>
        </w:rPr>
        <w:t>，具体名单如下：</w:t>
      </w:r>
    </w:p>
    <w:tbl>
      <w:tblPr>
        <w:tblStyle w:val="20"/>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212"/>
        <w:gridCol w:w="3027"/>
        <w:gridCol w:w="3615"/>
        <w:gridCol w:w="804"/>
      </w:tblGrid>
      <w:tr w14:paraId="6097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tcPr>
          <w:p w14:paraId="555DC3BC">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vertAlign w:val="baseline"/>
                <w:lang w:val="en-US" w:eastAsia="zh-CN"/>
              </w:rPr>
              <w:t>序号</w:t>
            </w:r>
          </w:p>
        </w:tc>
        <w:tc>
          <w:tcPr>
            <w:tcW w:w="1212" w:type="dxa"/>
          </w:tcPr>
          <w:p w14:paraId="40586761">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vertAlign w:val="baseline"/>
                <w:lang w:val="en-US" w:eastAsia="zh-CN"/>
              </w:rPr>
              <w:t>岗位/岗位职责</w:t>
            </w:r>
          </w:p>
        </w:tc>
        <w:tc>
          <w:tcPr>
            <w:tcW w:w="3027" w:type="dxa"/>
          </w:tcPr>
          <w:p w14:paraId="51291FDB">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vertAlign w:val="baseline"/>
                <w:lang w:val="en-US" w:eastAsia="zh-CN"/>
              </w:rPr>
              <w:t>岗位职责</w:t>
            </w:r>
          </w:p>
        </w:tc>
        <w:tc>
          <w:tcPr>
            <w:tcW w:w="3615" w:type="dxa"/>
          </w:tcPr>
          <w:p w14:paraId="5D0FCDCE">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vertAlign w:val="baseline"/>
                <w:lang w:val="en-US" w:eastAsia="zh-CN"/>
              </w:rPr>
              <w:t>资质要求</w:t>
            </w:r>
          </w:p>
        </w:tc>
        <w:tc>
          <w:tcPr>
            <w:tcW w:w="804" w:type="dxa"/>
          </w:tcPr>
          <w:p w14:paraId="0CBF037B">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vertAlign w:val="baseline"/>
                <w:lang w:val="en-US" w:eastAsia="zh-CN"/>
              </w:rPr>
              <w:t>数量</w:t>
            </w:r>
          </w:p>
        </w:tc>
      </w:tr>
      <w:tr w14:paraId="0849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570DFC09">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w:t>
            </w:r>
          </w:p>
        </w:tc>
        <w:tc>
          <w:tcPr>
            <w:tcW w:w="1212" w:type="dxa"/>
            <w:vAlign w:val="center"/>
          </w:tcPr>
          <w:p w14:paraId="374DE522">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项目经理</w:t>
            </w:r>
          </w:p>
        </w:tc>
        <w:tc>
          <w:tcPr>
            <w:tcW w:w="3027" w:type="dxa"/>
            <w:vAlign w:val="center"/>
          </w:tcPr>
          <w:p w14:paraId="45C472B3">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default" w:ascii="仿宋" w:hAnsi="仿宋" w:eastAsia="仿宋" w:cs="仿宋"/>
                <w:b w:val="0"/>
                <w:bCs/>
                <w:color w:val="auto"/>
                <w:sz w:val="28"/>
                <w:szCs w:val="28"/>
                <w:highlight w:val="none"/>
                <w:lang w:val="en-US" w:eastAsia="zh-CN"/>
              </w:rPr>
              <w:t>统筹</w:t>
            </w:r>
            <w:r>
              <w:rPr>
                <w:rFonts w:hint="eastAsia" w:ascii="仿宋" w:hAnsi="仿宋" w:eastAsia="仿宋" w:cs="仿宋"/>
                <w:b w:val="0"/>
                <w:bCs/>
                <w:color w:val="auto"/>
                <w:sz w:val="28"/>
                <w:szCs w:val="28"/>
                <w:highlight w:val="none"/>
                <w:lang w:val="en-US" w:eastAsia="zh-CN"/>
              </w:rPr>
              <w:t>测试测评</w:t>
            </w:r>
            <w:r>
              <w:rPr>
                <w:rFonts w:hint="default" w:ascii="仿宋" w:hAnsi="仿宋" w:eastAsia="仿宋" w:cs="仿宋"/>
                <w:b w:val="0"/>
                <w:bCs/>
                <w:color w:val="auto"/>
                <w:sz w:val="28"/>
                <w:szCs w:val="28"/>
                <w:highlight w:val="none"/>
                <w:lang w:val="en-US" w:eastAsia="zh-CN"/>
              </w:rPr>
              <w:t>项目全流程，把控项目进度、质量与安全，协调各方完成测评交付</w:t>
            </w:r>
          </w:p>
        </w:tc>
        <w:tc>
          <w:tcPr>
            <w:tcW w:w="3615" w:type="dxa"/>
            <w:vAlign w:val="center"/>
          </w:tcPr>
          <w:p w14:paraId="1FA253BE">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在具备等保高级测评师证书的基础上具备：（1）信息系统项目管理师证书；（2）商用密码应用安全性评估人员测评能力考核合格证明</w:t>
            </w:r>
          </w:p>
        </w:tc>
        <w:tc>
          <w:tcPr>
            <w:tcW w:w="804" w:type="dxa"/>
            <w:vAlign w:val="center"/>
          </w:tcPr>
          <w:p w14:paraId="737801C4">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val="0"/>
                <w:bCs/>
                <w:color w:val="auto"/>
                <w:sz w:val="28"/>
                <w:szCs w:val="28"/>
                <w:highlight w:val="none"/>
                <w:vertAlign w:val="baseline"/>
                <w:lang w:val="en-US" w:eastAsia="zh-CN"/>
              </w:rPr>
            </w:pPr>
          </w:p>
        </w:tc>
      </w:tr>
      <w:tr w14:paraId="2029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74E4DFBF">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w:t>
            </w:r>
          </w:p>
        </w:tc>
        <w:tc>
          <w:tcPr>
            <w:tcW w:w="1212" w:type="dxa"/>
            <w:vAlign w:val="center"/>
          </w:tcPr>
          <w:p w14:paraId="6FB365B1">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等保测评技术负责人</w:t>
            </w:r>
          </w:p>
        </w:tc>
        <w:tc>
          <w:tcPr>
            <w:tcW w:w="3027" w:type="dxa"/>
            <w:vAlign w:val="center"/>
          </w:tcPr>
          <w:p w14:paraId="7B1CA79E">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default" w:ascii="仿宋" w:hAnsi="仿宋" w:eastAsia="仿宋" w:cs="仿宋"/>
                <w:b w:val="0"/>
                <w:bCs/>
                <w:color w:val="auto"/>
                <w:sz w:val="28"/>
                <w:szCs w:val="28"/>
                <w:highlight w:val="none"/>
                <w:lang w:val="en-US" w:eastAsia="zh-CN"/>
              </w:rPr>
              <w:t>负责等保测评技术工作，把控测评技术方案、质量，审核测评报告，处理技术疑难问题</w:t>
            </w:r>
          </w:p>
        </w:tc>
        <w:tc>
          <w:tcPr>
            <w:tcW w:w="3615" w:type="dxa"/>
            <w:vAlign w:val="center"/>
          </w:tcPr>
          <w:p w14:paraId="0002A019">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（1）网络安全等级测评师证书（中级及以上）证书、（2）信息安全保障人员认证证书</w:t>
            </w:r>
          </w:p>
        </w:tc>
        <w:tc>
          <w:tcPr>
            <w:tcW w:w="804" w:type="dxa"/>
            <w:vAlign w:val="center"/>
          </w:tcPr>
          <w:p w14:paraId="508B2431">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val="0"/>
                <w:bCs/>
                <w:color w:val="auto"/>
                <w:sz w:val="28"/>
                <w:szCs w:val="28"/>
                <w:highlight w:val="none"/>
                <w:vertAlign w:val="baseline"/>
                <w:lang w:val="en-US" w:eastAsia="zh-CN"/>
              </w:rPr>
            </w:pPr>
          </w:p>
        </w:tc>
      </w:tr>
      <w:tr w14:paraId="09FE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41AD845F">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3</w:t>
            </w:r>
          </w:p>
        </w:tc>
        <w:tc>
          <w:tcPr>
            <w:tcW w:w="1212" w:type="dxa"/>
            <w:vAlign w:val="center"/>
          </w:tcPr>
          <w:p w14:paraId="3A94183D">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密码评估技术负责人</w:t>
            </w:r>
          </w:p>
        </w:tc>
        <w:tc>
          <w:tcPr>
            <w:tcW w:w="3027" w:type="dxa"/>
            <w:vAlign w:val="center"/>
          </w:tcPr>
          <w:p w14:paraId="52C9C950">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负责统筹密码评估技术实施，审核评估方案与报告，处置密码测评技术难点，把控评估质量</w:t>
            </w:r>
          </w:p>
        </w:tc>
        <w:tc>
          <w:tcPr>
            <w:tcW w:w="3615" w:type="dxa"/>
            <w:vAlign w:val="center"/>
          </w:tcPr>
          <w:p w14:paraId="4B1C33F7">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（1）密码技术应用员职业技能等级证书（三级/高级工及以上）、（2）商用密码应用安全性评估人员测评能力考核合格证明</w:t>
            </w:r>
          </w:p>
        </w:tc>
        <w:tc>
          <w:tcPr>
            <w:tcW w:w="804" w:type="dxa"/>
            <w:vAlign w:val="center"/>
          </w:tcPr>
          <w:p w14:paraId="0D3312FE">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val="0"/>
                <w:bCs/>
                <w:color w:val="auto"/>
                <w:sz w:val="28"/>
                <w:szCs w:val="28"/>
                <w:highlight w:val="none"/>
                <w:vertAlign w:val="baseline"/>
                <w:lang w:val="en-US" w:eastAsia="zh-CN"/>
              </w:rPr>
            </w:pPr>
          </w:p>
        </w:tc>
      </w:tr>
      <w:tr w14:paraId="06B7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vAlign w:val="center"/>
          </w:tcPr>
          <w:p w14:paraId="3BD40BA0">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4</w:t>
            </w:r>
          </w:p>
        </w:tc>
        <w:tc>
          <w:tcPr>
            <w:tcW w:w="1212" w:type="dxa"/>
            <w:vAlign w:val="center"/>
          </w:tcPr>
          <w:p w14:paraId="1BAE97F2">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系统测试、等保、密评执行人员</w:t>
            </w:r>
          </w:p>
        </w:tc>
        <w:tc>
          <w:tcPr>
            <w:tcW w:w="3027" w:type="dxa"/>
            <w:vAlign w:val="center"/>
          </w:tcPr>
          <w:p w14:paraId="02EF0415">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完成本项目系统测试、等保测评与密码评估实施工作</w:t>
            </w:r>
          </w:p>
        </w:tc>
        <w:tc>
          <w:tcPr>
            <w:tcW w:w="3615" w:type="dxa"/>
            <w:vAlign w:val="center"/>
          </w:tcPr>
          <w:p w14:paraId="3322D9A5">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0" w:firstLineChars="0"/>
              <w:jc w:val="center"/>
              <w:textAlignment w:val="auto"/>
              <w:outlineLvl w:val="9"/>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具备开展系统测试、等保测评、密评服务活动相适应的初级专业证书</w:t>
            </w:r>
          </w:p>
        </w:tc>
        <w:tc>
          <w:tcPr>
            <w:tcW w:w="804" w:type="dxa"/>
            <w:vAlign w:val="center"/>
          </w:tcPr>
          <w:p w14:paraId="13D92056">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jc w:val="center"/>
              <w:textAlignment w:val="auto"/>
              <w:outlineLvl w:val="9"/>
              <w:rPr>
                <w:rFonts w:hint="eastAsia" w:ascii="仿宋" w:hAnsi="仿宋" w:eastAsia="仿宋" w:cs="仿宋"/>
                <w:b w:val="0"/>
                <w:bCs/>
                <w:color w:val="auto"/>
                <w:sz w:val="28"/>
                <w:szCs w:val="28"/>
                <w:highlight w:val="none"/>
                <w:vertAlign w:val="baseline"/>
                <w:lang w:val="en-US" w:eastAsia="zh-CN"/>
              </w:rPr>
            </w:pPr>
          </w:p>
        </w:tc>
      </w:tr>
      <w:tr w14:paraId="28E1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166" w:type="dxa"/>
            <w:gridSpan w:val="5"/>
          </w:tcPr>
          <w:p w14:paraId="2C33493C">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jc w:val="both"/>
              <w:textAlignment w:val="auto"/>
              <w:outlineLvl w:val="9"/>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注：1、团队人员一人一岗，不得兼任多个岗位。</w:t>
            </w:r>
          </w:p>
          <w:p w14:paraId="677D82DF">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jc w:val="both"/>
              <w:textAlignment w:val="auto"/>
              <w:outlineLvl w:val="9"/>
              <w:rPr>
                <w:rFonts w:hint="eastAsia" w:ascii="仿宋" w:hAnsi="仿宋" w:eastAsia="仿宋" w:cs="仿宋"/>
                <w:b/>
                <w:bCs w:val="0"/>
                <w:color w:val="auto"/>
                <w:sz w:val="28"/>
                <w:szCs w:val="28"/>
                <w:highlight w:val="none"/>
                <w:vertAlign w:val="baseline"/>
                <w:lang w:val="en-US" w:eastAsia="zh-CN"/>
              </w:rPr>
            </w:pPr>
            <w:r>
              <w:rPr>
                <w:rFonts w:hint="eastAsia" w:ascii="仿宋" w:hAnsi="仿宋" w:eastAsia="仿宋" w:cs="仿宋"/>
                <w:b/>
                <w:bCs w:val="0"/>
                <w:color w:val="auto"/>
                <w:sz w:val="28"/>
                <w:szCs w:val="28"/>
                <w:highlight w:val="none"/>
                <w:lang w:val="en-US" w:eastAsia="zh-CN"/>
              </w:rPr>
              <w:t>2、本项目进场实施人员将严格按照响应文件所附项目团队人员清单执行，所有现场进场人员均与清单人员保持一致，无擅自更换、替换核心人员情况。人员进场时，乙方需统一出具加盖公司公章的人员介绍信、身份证明、岗位资质证明等相关材料，接受甲方核验。若项目执行过程中确需调整人员，乙方须提前向甲方提交书面变更申请，经甲方书面同意后方可更换，更换人员资质、从业经验不得低于原清单人员标准，严格遵守谈判文件人员管理相关要求。</w:t>
            </w:r>
          </w:p>
        </w:tc>
      </w:tr>
    </w:tbl>
    <w:p w14:paraId="7BCCECEE">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2.为确保</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在本项目测评现场具有应急处理能力，在提供测试测评过程中出现突发事件的应急响应，能够快速应对突发事件，并承诺处理事件的工程师在0.5小时内进行远程服务应答和反馈；若需要现场支撑时，需在应答和反馈后的1小时内安排至少1名具有处理事件能力的工程师到达现场处理。</w:t>
      </w:r>
    </w:p>
    <w:p w14:paraId="04F94CEB">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3.</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在测试测评期间现场发现的问题，以书面形式通知系统承建单位，同时抄送</w:t>
      </w:r>
      <w:r>
        <w:rPr>
          <w:rFonts w:hint="eastAsia" w:ascii="仿宋" w:hAnsi="仿宋" w:eastAsia="仿宋" w:cs="仿宋"/>
          <w:sz w:val="28"/>
          <w:szCs w:val="28"/>
          <w:highlight w:val="none"/>
          <w:lang w:val="zh-TW" w:eastAsia="zh-CN"/>
        </w:rPr>
        <w:t>甲方</w:t>
      </w:r>
      <w:r>
        <w:rPr>
          <w:rFonts w:hint="eastAsia" w:ascii="仿宋" w:hAnsi="仿宋" w:eastAsia="仿宋" w:cs="仿宋"/>
          <w:sz w:val="28"/>
          <w:szCs w:val="28"/>
          <w:highlight w:val="none"/>
          <w:lang w:val="zh-TW"/>
        </w:rPr>
        <w:t>及监理单位，并提供整改建议方案。</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待系统承建单位整改完成并提交正式整改报告后，进行复测直到测试测评合格。</w:t>
      </w:r>
    </w:p>
    <w:p w14:paraId="7121CC68">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4.基于安全考虑，</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所投入使用的测评工具和密码测评工具须符合国家标准、行业标准及相关法律法规规定，须具备如下功能：</w:t>
      </w:r>
    </w:p>
    <w:p w14:paraId="0E57BB18">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4.1测评工具</w:t>
      </w:r>
    </w:p>
    <w:p w14:paraId="5F9D97E1">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①具备有效防止终端设备遭受 DoS（拒绝服务）与DDoS（分布式拒绝服务）攻击，保障终端设备的网络可用性与运行稳定性。并支持与现有网络基础设施（如三层交换机）建立联动机制，实现与交换机的协同管控，可对违规终端执行联动阻断操作，实现设备终端精准接入与有效的网络访问控制；</w:t>
      </w:r>
    </w:p>
    <w:p w14:paraId="75930EA3">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②支持异常行为管控支持旁路阻断，阻断方式包含交换机联动阻断、TCP阻断、ARP阻断。</w:t>
      </w:r>
    </w:p>
    <w:p w14:paraId="330EA735">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③在测评过程中具备测评过程安全管控能力，在测评过程中可对测评工具自身及测评采集数据实现防入侵、防攻击、防病毒、防篡改、防泄露管控，规避测评工具被利用、测评数据外泄风险。</w:t>
      </w:r>
    </w:p>
    <w:p w14:paraId="75D5F2C1">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4.2密码测评工具</w:t>
      </w:r>
    </w:p>
    <w:p w14:paraId="4755D06F">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①符合国家密码行业标准，支持主流密码加解密运算和算法验证。 1) 分组密码算法：支持 SM4、AES等算法； 2) 公钥算法：支持 SM2、SM9、RSA（2048及以上）、ECDSA、ECDH等算法；3) 流密码算法：支持 ZUC、ChaCha20等算法； 4) 哈希算法：支持 SHA2 系列、SHA3 系列和 SM3 等哈希算法以及对应的 HMAC 算法。</w:t>
      </w:r>
    </w:p>
    <w:p w14:paraId="293F099E">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②在密码测评服务中对被测密码的密码加密算法进行测试及数据分析时，至少使用PKCS#1及PKCS#7两种或以上的加密消息语法标准进行签名和验签操作，确保被测结果的准确性。</w:t>
      </w:r>
    </w:p>
    <w:p w14:paraId="31078C97">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③支持对常见加密协议的分析，包括国密 IPSec、国密 SSL/TLS （TLCP）等。</w:t>
      </w:r>
    </w:p>
    <w:p w14:paraId="3CD94D19">
      <w:pPr>
        <w:pStyle w:val="15"/>
        <w:keepNext w:val="0"/>
        <w:keepLines w:val="0"/>
        <w:pageBreakBefore w:val="0"/>
        <w:widowControl w:val="0"/>
        <w:kinsoku/>
        <w:wordWrap/>
        <w:overflowPunct/>
        <w:topLinePunct w:val="0"/>
        <w:autoSpaceDE/>
        <w:autoSpaceDN/>
        <w:bidi w:val="0"/>
        <w:spacing w:beforeAutospacing="0" w:afterAutospacing="0" w:line="460" w:lineRule="exact"/>
        <w:ind w:firstLine="562" w:firstLineChars="200"/>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注：乙方须在合同签订后人员进场前向甲方提供功能界面截图及对应工具的软件著作权证书复印件。逾期拒不提供、提交资料弄虚作假或材料核查不符合约定标准的，甲方有权单方终止合同、没收履约保证金，乙方须全额赔偿甲方全部经济损失，并自行承担由此产生的违约金、行政处罚及相关全部法律责任。</w:t>
      </w:r>
    </w:p>
    <w:p w14:paraId="40C02273">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5.乙方除应履行出具测试测评成果文件的职责外，还须在智能化项目建设阶段‌保持全程技术支持‌，‌定期参与项目关键节点评审‌，并以‌书面形式‌为项目建设提供专业指导意见与技术建议。</w:t>
      </w:r>
    </w:p>
    <w:p w14:paraId="54B55241">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w:t>
      </w:r>
      <w:r>
        <w:rPr>
          <w:rFonts w:hint="eastAsia" w:ascii="仿宋" w:hAnsi="仿宋" w:eastAsia="仿宋" w:cs="仿宋"/>
          <w:b w:val="0"/>
          <w:bCs w:val="0"/>
          <w:sz w:val="28"/>
          <w:szCs w:val="28"/>
          <w:highlight w:val="none"/>
          <w:lang w:val="en-US" w:eastAsia="zh-CN"/>
        </w:rPr>
        <w:t>乙方</w:t>
      </w:r>
      <w:r>
        <w:rPr>
          <w:rFonts w:hint="eastAsia" w:ascii="仿宋" w:hAnsi="仿宋" w:eastAsia="仿宋" w:cs="仿宋"/>
          <w:sz w:val="28"/>
          <w:szCs w:val="28"/>
          <w:highlight w:val="none"/>
          <w:lang w:val="en-US" w:eastAsia="zh-CN"/>
        </w:rPr>
        <w:t>需全程主动配合、全力协助甲方完成全套网络安全管理制度体系的调研、梳理、编制、修订与落地适配工作，协助甲方搭建全面、规范、贴合实际、可落地、可量化考核的网络安全管理制度体系；配合甲方完成制度落地宣贯、答疑解读等工作。</w:t>
      </w:r>
    </w:p>
    <w:p w14:paraId="490B1274">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7.单项测试测评工作提请验收时，乙方应提供书面测试测评成果报告（加盖印章）3份，如通过有关部门备案的，应出具相应的备案证明，如邀请专家评审的，应出具书面专家意见。</w:t>
      </w:r>
    </w:p>
    <w:p w14:paraId="0DABDFF6">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lang w:val="zh-TW"/>
        </w:rPr>
        <w:t>现场测试：本项目为在建工程，</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应严格按相关法律法规落实相关管理职责：</w:t>
      </w:r>
    </w:p>
    <w:p w14:paraId="6616385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一是作业环境方面。</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进场施工前，应至少提前3日与工程总承包单位（如有）沟通协调作业时段及作业方式，服从施工现场统一场地、通道、临水临电管理，妥善做好交叉施工统筹；</w:t>
      </w:r>
    </w:p>
    <w:p w14:paraId="65FCD3CD">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二是成品保护。</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组织测试测评过程中应妥善保护现场已完成土建、装饰、机电成品，做好自身的工完场清，如因现场作业造成既有成品损坏、污染，由</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承担全部修复费用（按照同品同质修复）及工期损失；</w:t>
      </w:r>
    </w:p>
    <w:p w14:paraId="5DE1285B">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三是安全生产管理。</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应对自身工作人员、工作设备、作业活动承担主体安全责任，严格遵守施工现场安全管理规定，落实安全防护措施，作业期间发生的一切安全事故、人员伤害及财产损失，均由</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自行负责；</w:t>
      </w:r>
    </w:p>
    <w:p w14:paraId="6F623162">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四是按照总承包合同约定工程总承包单位为</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提供方便和施工配合等所产生的配合费，由工程总承包单位向</w:t>
      </w:r>
      <w:r>
        <w:rPr>
          <w:rFonts w:hint="eastAsia" w:ascii="仿宋" w:hAnsi="仿宋" w:eastAsia="仿宋" w:cs="仿宋"/>
          <w:sz w:val="28"/>
          <w:szCs w:val="28"/>
          <w:highlight w:val="none"/>
          <w:lang w:val="zh-TW" w:eastAsia="zh-CN"/>
        </w:rPr>
        <w:t>乙方</w:t>
      </w:r>
      <w:r>
        <w:rPr>
          <w:rFonts w:hint="eastAsia" w:ascii="仿宋" w:hAnsi="仿宋" w:eastAsia="仿宋" w:cs="仿宋"/>
          <w:sz w:val="28"/>
          <w:szCs w:val="28"/>
          <w:highlight w:val="none"/>
          <w:lang w:val="zh-TW"/>
        </w:rPr>
        <w:t>自行协商收取，配合费参照《福建省建筑安装工程费用定额》（2017版）规定计算，其中费率（含税）不得高于1.5%。</w:t>
      </w:r>
    </w:p>
    <w:p w14:paraId="6FE8F198">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五、服务费用及付款方式</w:t>
      </w:r>
    </w:p>
    <w:p w14:paraId="57AE9C2F">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完成</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rPr>
        <w:t>要求的单项测试测评工作并出具对应成果报告，提供备案证明（如有）</w:t>
      </w:r>
      <w:r>
        <w:rPr>
          <w:rFonts w:hint="eastAsia" w:ascii="仿宋" w:hAnsi="仿宋" w:eastAsia="仿宋" w:cs="仿宋"/>
          <w:sz w:val="28"/>
          <w:szCs w:val="28"/>
          <w:highlight w:val="none"/>
          <w:lang w:val="zh-TW" w:eastAsia="zh-CN"/>
        </w:rPr>
        <w:t>，</w:t>
      </w:r>
      <w:r>
        <w:rPr>
          <w:rFonts w:hint="eastAsia" w:ascii="仿宋" w:hAnsi="仿宋" w:eastAsia="仿宋" w:cs="仿宋"/>
          <w:sz w:val="28"/>
          <w:szCs w:val="28"/>
          <w:highlight w:val="none"/>
          <w:lang w:val="zh-TW"/>
        </w:rPr>
        <w:t>该单项成果经</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rPr>
        <w:t>验收合格后，依据</w:t>
      </w:r>
      <w:r>
        <w:rPr>
          <w:rFonts w:hint="eastAsia" w:ascii="仿宋" w:hAnsi="仿宋" w:eastAsia="仿宋" w:cs="仿宋"/>
          <w:sz w:val="28"/>
          <w:szCs w:val="28"/>
          <w:highlight w:val="none"/>
          <w:lang w:val="en-US" w:eastAsia="zh-CN"/>
        </w:rPr>
        <w:t>乙方响应时</w:t>
      </w:r>
      <w:r>
        <w:rPr>
          <w:rFonts w:hint="eastAsia" w:ascii="仿宋" w:hAnsi="仿宋" w:eastAsia="仿宋" w:cs="仿宋"/>
          <w:sz w:val="28"/>
          <w:szCs w:val="28"/>
          <w:highlight w:val="none"/>
          <w:lang w:val="zh-TW"/>
        </w:rPr>
        <w:t>对应的最终分项报价金额</w:t>
      </w:r>
      <w:r>
        <w:rPr>
          <w:rFonts w:hint="eastAsia" w:ascii="仿宋" w:hAnsi="仿宋" w:eastAsia="仿宋" w:cs="仿宋"/>
          <w:sz w:val="28"/>
          <w:szCs w:val="28"/>
          <w:highlight w:val="none"/>
          <w:lang w:val="en-US" w:eastAsia="zh-CN"/>
        </w:rPr>
        <w:t>进行</w:t>
      </w:r>
      <w:r>
        <w:rPr>
          <w:rFonts w:hint="eastAsia" w:ascii="仿宋" w:hAnsi="仿宋" w:eastAsia="仿宋" w:cs="仿宋"/>
          <w:sz w:val="28"/>
          <w:szCs w:val="28"/>
          <w:highlight w:val="none"/>
          <w:lang w:val="zh-TW"/>
        </w:rPr>
        <w:t>结算。</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rPr>
        <w:t>在收到</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rPr>
        <w:t>开具的该单项等额发票后</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lang w:val="zh-TW"/>
        </w:rPr>
        <w:t>个工作日内，支付该单项服务对应的 100% 合同价款。</w:t>
      </w:r>
    </w:p>
    <w:p w14:paraId="3B2C14F3">
      <w:pPr>
        <w:pStyle w:val="32"/>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bCs/>
          <w:sz w:val="28"/>
          <w:szCs w:val="28"/>
          <w:highlight w:val="none"/>
          <w:lang w:val="zh-TW"/>
        </w:rPr>
      </w:pPr>
      <w:r>
        <w:rPr>
          <w:rFonts w:hint="eastAsia" w:ascii="仿宋" w:hAnsi="仿宋" w:eastAsia="仿宋" w:cs="仿宋"/>
          <w:sz w:val="28"/>
          <w:szCs w:val="28"/>
          <w:highlight w:val="none"/>
          <w:lang w:val="zh-TW"/>
        </w:rPr>
        <w:t>六、履约保证金</w:t>
      </w:r>
    </w:p>
    <w:p w14:paraId="37C2143F">
      <w:pPr>
        <w:pStyle w:val="15"/>
        <w:keepNext w:val="0"/>
        <w:keepLines w:val="0"/>
        <w:pageBreakBefore w:val="0"/>
        <w:widowControl w:val="0"/>
        <w:pBdr>
          <w:top w:val="none" w:color="FFFFFF" w:sz="0" w:space="0"/>
        </w:pBdr>
        <w:tabs>
          <w:tab w:val="left" w:pos="443"/>
        </w:tabs>
        <w:kinsoku/>
        <w:wordWrap/>
        <w:overflowPunct/>
        <w:topLinePunct w:val="0"/>
        <w:autoSpaceDE/>
        <w:autoSpaceDN/>
        <w:bidi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eastAsia="zh-TW"/>
        </w:rPr>
      </w:pP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eastAsia="zh-TW"/>
        </w:rPr>
        <w:t>在签订采购合同前应以银行转账</w:t>
      </w:r>
      <w:r>
        <w:rPr>
          <w:rFonts w:hint="eastAsia" w:ascii="仿宋" w:hAnsi="仿宋" w:eastAsia="仿宋" w:cs="仿宋"/>
          <w:sz w:val="28"/>
          <w:szCs w:val="28"/>
          <w:highlight w:val="none"/>
          <w:lang w:val="zh-TW" w:eastAsia="zh-CN"/>
        </w:rPr>
        <w:t>的方式</w:t>
      </w:r>
      <w:r>
        <w:rPr>
          <w:rFonts w:hint="eastAsia" w:ascii="仿宋" w:hAnsi="仿宋" w:eastAsia="仿宋" w:cs="仿宋"/>
          <w:sz w:val="28"/>
          <w:szCs w:val="28"/>
          <w:highlight w:val="none"/>
          <w:lang w:val="en-US" w:eastAsia="zh-CN"/>
        </w:rPr>
        <w:t>向甲方</w:t>
      </w:r>
      <w:r>
        <w:rPr>
          <w:rFonts w:hint="eastAsia" w:ascii="仿宋" w:hAnsi="仿宋" w:eastAsia="仿宋" w:cs="仿宋"/>
          <w:sz w:val="28"/>
          <w:szCs w:val="28"/>
          <w:highlight w:val="none"/>
          <w:lang w:val="zh-TW" w:eastAsia="zh-TW"/>
        </w:rPr>
        <w:t>缴纳</w:t>
      </w:r>
      <w:r>
        <w:rPr>
          <w:rFonts w:hint="eastAsia" w:ascii="仿宋" w:hAnsi="仿宋" w:eastAsia="仿宋" w:cs="仿宋"/>
          <w:sz w:val="28"/>
          <w:szCs w:val="28"/>
          <w:highlight w:val="none"/>
          <w:u w:val="single"/>
          <w:lang w:val="zh-TW" w:eastAsia="zh-TW"/>
        </w:rPr>
        <w:t xml:space="preserve">      </w:t>
      </w:r>
      <w:r>
        <w:rPr>
          <w:rFonts w:hint="eastAsia" w:ascii="仿宋" w:hAnsi="仿宋" w:eastAsia="仿宋" w:cs="仿宋"/>
          <w:sz w:val="28"/>
          <w:szCs w:val="28"/>
          <w:highlight w:val="none"/>
          <w:lang w:val="zh-TW" w:eastAsia="zh-TW"/>
        </w:rPr>
        <w:t>万元履约保证金</w:t>
      </w:r>
      <w:r>
        <w:rPr>
          <w:rFonts w:hint="eastAsia" w:ascii="仿宋" w:hAnsi="仿宋" w:eastAsia="仿宋" w:cs="仿宋"/>
          <w:sz w:val="28"/>
          <w:szCs w:val="28"/>
          <w:highlight w:val="none"/>
          <w:lang w:val="zh-TW" w:eastAsia="zh-CN"/>
        </w:rPr>
        <w:t>，履约保证金在合同约定全部事项履行完毕，经</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eastAsia="zh-CN"/>
        </w:rPr>
        <w:t>确认双方无未了事项后，</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lang w:val="zh-TW" w:eastAsia="zh-CN"/>
        </w:rPr>
        <w:t>在收到</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lang w:val="zh-TW" w:eastAsia="zh-CN"/>
        </w:rPr>
        <w:t>书面申请后30日内无息退还。</w:t>
      </w:r>
    </w:p>
    <w:p w14:paraId="56025D94">
      <w:pPr>
        <w:pStyle w:val="15"/>
        <w:keepNext w:val="0"/>
        <w:keepLines w:val="0"/>
        <w:pageBreakBefore w:val="0"/>
        <w:widowControl w:val="0"/>
        <w:pBdr>
          <w:top w:val="none" w:color="FFFFFF" w:sz="0" w:space="0"/>
        </w:pBdr>
        <w:kinsoku/>
        <w:wordWrap/>
        <w:overflowPunct/>
        <w:topLinePunct w:val="0"/>
        <w:autoSpaceDE/>
        <w:autoSpaceDN/>
        <w:bidi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rPr>
        <w:t>七、验收条件</w:t>
      </w:r>
    </w:p>
    <w:p w14:paraId="7AC2DDB9">
      <w:pPr>
        <w:pStyle w:val="15"/>
        <w:keepNext w:val="0"/>
        <w:keepLines w:val="0"/>
        <w:pageBreakBefore w:val="0"/>
        <w:widowControl w:val="0"/>
        <w:pBdr>
          <w:top w:val="none" w:color="FFFFFF" w:sz="0" w:space="0"/>
        </w:pBdr>
        <w:tabs>
          <w:tab w:val="left" w:pos="443"/>
        </w:tabs>
        <w:kinsoku/>
        <w:wordWrap/>
        <w:overflowPunct/>
        <w:topLinePunct w:val="0"/>
        <w:autoSpaceDE/>
        <w:autoSpaceDN/>
        <w:bidi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eastAsia="zh-TW"/>
        </w:rPr>
        <w:t>1</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zh-TW" w:eastAsia="zh-TW"/>
        </w:rPr>
        <w:t>验收应按照</w:t>
      </w:r>
      <w:r>
        <w:rPr>
          <w:rFonts w:hint="eastAsia" w:ascii="仿宋" w:hAnsi="仿宋" w:eastAsia="仿宋" w:cs="仿宋"/>
          <w:sz w:val="28"/>
          <w:szCs w:val="28"/>
          <w:highlight w:val="none"/>
          <w:lang w:val="zh-TW"/>
        </w:rPr>
        <w:t>相关</w:t>
      </w:r>
      <w:r>
        <w:rPr>
          <w:rFonts w:hint="eastAsia" w:ascii="仿宋" w:hAnsi="仿宋" w:eastAsia="仿宋" w:cs="仿宋"/>
          <w:sz w:val="28"/>
          <w:szCs w:val="28"/>
          <w:highlight w:val="none"/>
          <w:lang w:val="zh-TW" w:eastAsia="zh-TW"/>
        </w:rPr>
        <w:t>规定或约定进行，具体如下：</w:t>
      </w:r>
    </w:p>
    <w:p w14:paraId="4EB5CE31">
      <w:pPr>
        <w:pStyle w:val="15"/>
        <w:keepNext w:val="0"/>
        <w:keepLines w:val="0"/>
        <w:pageBreakBefore w:val="0"/>
        <w:widowControl w:val="0"/>
        <w:pBdr>
          <w:top w:val="none" w:color="FFFFFF" w:sz="0" w:space="0"/>
        </w:pBdr>
        <w:kinsoku/>
        <w:wordWrap/>
        <w:overflowPunct/>
        <w:topLinePunct w:val="0"/>
        <w:autoSpaceDE/>
        <w:autoSpaceDN/>
        <w:bidi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eastAsia="zh-TW"/>
        </w:rPr>
        <w:t>项目验收质量按国家要求标准</w:t>
      </w:r>
      <w:r>
        <w:rPr>
          <w:rFonts w:hint="eastAsia" w:ascii="仿宋" w:hAnsi="仿宋" w:eastAsia="仿宋" w:cs="仿宋"/>
          <w:sz w:val="28"/>
          <w:szCs w:val="28"/>
          <w:highlight w:val="none"/>
          <w:lang w:val="zh-TW"/>
        </w:rPr>
        <w:t>或行业标准执行，没有国标行标的，按通常标准或符合合同标的的特定标准履行</w:t>
      </w:r>
      <w:r>
        <w:rPr>
          <w:rFonts w:hint="eastAsia" w:ascii="仿宋" w:hAnsi="仿宋" w:eastAsia="仿宋" w:cs="仿宋"/>
          <w:sz w:val="28"/>
          <w:szCs w:val="28"/>
          <w:highlight w:val="none"/>
          <w:lang w:val="zh-TW" w:eastAsia="zh-TW"/>
        </w:rPr>
        <w:t>，若由于乙方的责任造成</w:t>
      </w:r>
      <w:r>
        <w:rPr>
          <w:rFonts w:hint="eastAsia" w:ascii="仿宋" w:hAnsi="仿宋" w:eastAsia="仿宋" w:cs="仿宋"/>
          <w:sz w:val="28"/>
          <w:szCs w:val="28"/>
          <w:highlight w:val="none"/>
          <w:lang w:val="zh-TW"/>
        </w:rPr>
        <w:t>服务</w:t>
      </w:r>
      <w:r>
        <w:rPr>
          <w:rFonts w:hint="eastAsia" w:ascii="仿宋" w:hAnsi="仿宋" w:eastAsia="仿宋" w:cs="仿宋"/>
          <w:sz w:val="28"/>
          <w:szCs w:val="28"/>
          <w:highlight w:val="none"/>
          <w:lang w:val="zh-TW" w:eastAsia="zh-TW"/>
        </w:rPr>
        <w:t>质量达不到本合同文件</w:t>
      </w:r>
      <w:r>
        <w:rPr>
          <w:rFonts w:hint="eastAsia" w:ascii="仿宋" w:hAnsi="仿宋" w:eastAsia="仿宋" w:cs="仿宋"/>
          <w:sz w:val="28"/>
          <w:szCs w:val="28"/>
          <w:highlight w:val="none"/>
        </w:rPr>
        <w:t>约</w:t>
      </w:r>
      <w:r>
        <w:rPr>
          <w:rFonts w:hint="eastAsia" w:ascii="仿宋" w:hAnsi="仿宋" w:eastAsia="仿宋" w:cs="仿宋"/>
          <w:sz w:val="28"/>
          <w:szCs w:val="28"/>
          <w:highlight w:val="none"/>
          <w:lang w:val="zh-TW" w:eastAsia="zh-TW"/>
        </w:rPr>
        <w:t>定的要求，乙方应负责返工直至符合要求，由此造成的损失由乙方负责；如乙方服务达不到本合同</w:t>
      </w:r>
      <w:r>
        <w:rPr>
          <w:rFonts w:hint="eastAsia" w:ascii="仿宋" w:hAnsi="仿宋" w:eastAsia="仿宋" w:cs="仿宋"/>
          <w:sz w:val="28"/>
          <w:szCs w:val="28"/>
          <w:highlight w:val="none"/>
        </w:rPr>
        <w:t>约</w:t>
      </w:r>
      <w:r>
        <w:rPr>
          <w:rFonts w:hint="eastAsia" w:ascii="仿宋" w:hAnsi="仿宋" w:eastAsia="仿宋" w:cs="仿宋"/>
          <w:sz w:val="28"/>
          <w:szCs w:val="28"/>
          <w:highlight w:val="none"/>
          <w:lang w:val="zh-TW" w:eastAsia="zh-TW"/>
        </w:rPr>
        <w:t>定的要求导致甲方工作受到影响的，甲方有权解除合同，并</w:t>
      </w:r>
      <w:r>
        <w:rPr>
          <w:rFonts w:hint="eastAsia" w:ascii="仿宋" w:hAnsi="仿宋" w:eastAsia="仿宋" w:cs="仿宋"/>
          <w:sz w:val="28"/>
          <w:szCs w:val="28"/>
          <w:highlight w:val="none"/>
        </w:rPr>
        <w:t>不支付当月/季度</w:t>
      </w:r>
      <w:r>
        <w:rPr>
          <w:rFonts w:hint="eastAsia" w:ascii="仿宋" w:hAnsi="仿宋" w:eastAsia="仿宋" w:cs="仿宋"/>
          <w:sz w:val="28"/>
          <w:szCs w:val="28"/>
          <w:highlight w:val="none"/>
          <w:lang w:val="zh-TW"/>
        </w:rPr>
        <w:t>服务</w:t>
      </w:r>
      <w:r>
        <w:rPr>
          <w:rFonts w:hint="eastAsia" w:ascii="仿宋" w:hAnsi="仿宋" w:eastAsia="仿宋" w:cs="仿宋"/>
          <w:sz w:val="28"/>
          <w:szCs w:val="28"/>
          <w:highlight w:val="none"/>
          <w:lang w:val="zh-TW" w:eastAsia="zh-TW"/>
        </w:rPr>
        <w:t>费用，</w:t>
      </w:r>
      <w:r>
        <w:rPr>
          <w:rFonts w:hint="eastAsia" w:ascii="仿宋" w:hAnsi="仿宋" w:eastAsia="仿宋" w:cs="仿宋"/>
          <w:sz w:val="28"/>
          <w:szCs w:val="28"/>
          <w:highlight w:val="none"/>
          <w:lang w:val="zh-TW"/>
        </w:rPr>
        <w:t>乙方还须赔偿</w:t>
      </w:r>
      <w:r>
        <w:rPr>
          <w:rFonts w:hint="eastAsia" w:ascii="仿宋" w:hAnsi="仿宋" w:eastAsia="仿宋" w:cs="仿宋"/>
          <w:sz w:val="28"/>
          <w:szCs w:val="28"/>
          <w:highlight w:val="none"/>
          <w:lang w:val="zh-TW" w:eastAsia="zh-TW"/>
        </w:rPr>
        <w:t>由此给甲方造成的损失。</w:t>
      </w:r>
    </w:p>
    <w:p w14:paraId="0F8C8128">
      <w:pPr>
        <w:pStyle w:val="15"/>
        <w:keepNext w:val="0"/>
        <w:keepLines w:val="0"/>
        <w:pageBreakBefore w:val="0"/>
        <w:widowControl w:val="0"/>
        <w:pBdr>
          <w:top w:val="none" w:color="FFFFFF" w:sz="0" w:space="0"/>
        </w:pBdr>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color w:val="auto"/>
          <w:sz w:val="28"/>
          <w:szCs w:val="28"/>
          <w:highlight w:val="none"/>
          <w:lang w:val="zh-TW"/>
        </w:rPr>
      </w:pPr>
      <w:r>
        <w:rPr>
          <w:rFonts w:hint="eastAsia" w:ascii="仿宋" w:hAnsi="仿宋" w:eastAsia="仿宋" w:cs="仿宋"/>
          <w:color w:val="auto"/>
          <w:sz w:val="28"/>
          <w:szCs w:val="28"/>
          <w:highlight w:val="none"/>
          <w:lang w:val="zh-TW"/>
        </w:rPr>
        <w:t>2</w:t>
      </w:r>
      <w:r>
        <w:rPr>
          <w:rFonts w:hint="eastAsia" w:ascii="仿宋" w:hAnsi="仿宋" w:eastAsia="仿宋" w:cs="仿宋"/>
          <w:sz w:val="28"/>
          <w:szCs w:val="28"/>
          <w:highlight w:val="none"/>
        </w:rPr>
        <w:t>.</w:t>
      </w:r>
      <w:r>
        <w:rPr>
          <w:rFonts w:hint="eastAsia" w:ascii="仿宋" w:hAnsi="仿宋" w:eastAsia="仿宋" w:cs="仿宋"/>
          <w:color w:val="auto"/>
          <w:sz w:val="28"/>
          <w:szCs w:val="28"/>
          <w:highlight w:val="none"/>
          <w:lang w:val="zh-TW" w:eastAsia="zh-TW"/>
        </w:rPr>
        <w:t>甲方对乙方的</w:t>
      </w:r>
      <w:r>
        <w:rPr>
          <w:rFonts w:hint="eastAsia" w:ascii="仿宋" w:hAnsi="仿宋" w:eastAsia="仿宋" w:cs="仿宋"/>
          <w:color w:val="auto"/>
          <w:sz w:val="28"/>
          <w:szCs w:val="28"/>
          <w:highlight w:val="none"/>
        </w:rPr>
        <w:t>服务</w:t>
      </w:r>
      <w:r>
        <w:rPr>
          <w:rFonts w:hint="eastAsia" w:ascii="仿宋" w:hAnsi="仿宋" w:eastAsia="仿宋" w:cs="仿宋"/>
          <w:color w:val="auto"/>
          <w:sz w:val="28"/>
          <w:szCs w:val="28"/>
          <w:highlight w:val="none"/>
          <w:lang w:val="zh-TW" w:eastAsia="zh-TW"/>
        </w:rPr>
        <w:t>情况</w:t>
      </w:r>
      <w:r>
        <w:rPr>
          <w:rFonts w:hint="eastAsia" w:ascii="仿宋" w:hAnsi="仿宋" w:eastAsia="仿宋" w:cs="仿宋"/>
          <w:color w:val="auto"/>
          <w:sz w:val="28"/>
          <w:szCs w:val="28"/>
          <w:highlight w:val="none"/>
          <w:lang w:val="zh-TW"/>
        </w:rPr>
        <w:t>进行</w:t>
      </w:r>
      <w:r>
        <w:rPr>
          <w:rFonts w:hint="eastAsia" w:ascii="仿宋" w:hAnsi="仿宋" w:eastAsia="仿宋" w:cs="仿宋"/>
          <w:color w:val="auto"/>
          <w:sz w:val="28"/>
          <w:szCs w:val="28"/>
          <w:highlight w:val="none"/>
          <w:lang w:val="zh-TW" w:eastAsia="zh-TW"/>
        </w:rPr>
        <w:t>现场验收。</w:t>
      </w:r>
      <w:r>
        <w:rPr>
          <w:rFonts w:hint="eastAsia" w:ascii="仿宋" w:hAnsi="仿宋" w:eastAsia="仿宋" w:cs="仿宋"/>
          <w:color w:val="auto"/>
          <w:sz w:val="28"/>
          <w:szCs w:val="28"/>
          <w:highlight w:val="none"/>
        </w:rPr>
        <w:t>服务</w:t>
      </w:r>
      <w:r>
        <w:rPr>
          <w:rFonts w:hint="eastAsia" w:ascii="仿宋" w:hAnsi="仿宋" w:eastAsia="仿宋" w:cs="仿宋"/>
          <w:color w:val="auto"/>
          <w:sz w:val="28"/>
          <w:szCs w:val="28"/>
          <w:highlight w:val="none"/>
          <w:lang w:val="zh-TW" w:eastAsia="zh-TW"/>
        </w:rPr>
        <w:t>所涉及到的</w:t>
      </w:r>
      <w:r>
        <w:rPr>
          <w:rFonts w:hint="eastAsia" w:ascii="仿宋" w:hAnsi="仿宋" w:eastAsia="仿宋" w:cs="仿宋"/>
          <w:color w:val="auto"/>
          <w:sz w:val="28"/>
          <w:szCs w:val="28"/>
          <w:highlight w:val="none"/>
          <w:lang w:val="zh-TW"/>
        </w:rPr>
        <w:t>相关</w:t>
      </w:r>
      <w:r>
        <w:rPr>
          <w:rFonts w:hint="eastAsia" w:ascii="仿宋" w:hAnsi="仿宋" w:eastAsia="仿宋" w:cs="仿宋"/>
          <w:color w:val="auto"/>
          <w:sz w:val="28"/>
          <w:szCs w:val="28"/>
          <w:highlight w:val="none"/>
          <w:lang w:val="zh-TW" w:eastAsia="zh-TW"/>
        </w:rPr>
        <w:t>耗材，甲方根据本</w:t>
      </w:r>
      <w:r>
        <w:rPr>
          <w:rFonts w:hint="eastAsia" w:ascii="仿宋" w:hAnsi="仿宋" w:eastAsia="仿宋" w:cs="仿宋"/>
          <w:color w:val="auto"/>
          <w:sz w:val="28"/>
          <w:szCs w:val="28"/>
          <w:highlight w:val="none"/>
          <w:lang w:val="zh-TW"/>
        </w:rPr>
        <w:t>合同</w:t>
      </w:r>
      <w:r>
        <w:rPr>
          <w:rFonts w:hint="eastAsia" w:ascii="仿宋" w:hAnsi="仿宋" w:eastAsia="仿宋" w:cs="仿宋"/>
          <w:color w:val="auto"/>
          <w:sz w:val="28"/>
          <w:szCs w:val="28"/>
          <w:highlight w:val="none"/>
          <w:lang w:val="zh-TW" w:eastAsia="zh-TW"/>
        </w:rPr>
        <w:t>所约定的材料清单及要求对材料的品牌、外观、规格、数量进行验收，乙方必须在验收现场提供必要的技术支持。</w:t>
      </w:r>
    </w:p>
    <w:p w14:paraId="229FE015">
      <w:pPr>
        <w:pStyle w:val="15"/>
        <w:keepNext w:val="0"/>
        <w:keepLines w:val="0"/>
        <w:pageBreakBefore w:val="0"/>
        <w:widowControl w:val="0"/>
        <w:pBdr>
          <w:top w:val="none" w:color="FFFFFF" w:sz="0" w:space="0"/>
        </w:pBdr>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color w:val="auto"/>
          <w:sz w:val="28"/>
          <w:szCs w:val="28"/>
          <w:highlight w:val="none"/>
          <w:lang w:val="zh-TW"/>
        </w:rPr>
        <w:t>3</w:t>
      </w:r>
      <w:r>
        <w:rPr>
          <w:rFonts w:hint="eastAsia" w:ascii="仿宋" w:hAnsi="仿宋" w:eastAsia="仿宋" w:cs="仿宋"/>
          <w:sz w:val="28"/>
          <w:szCs w:val="28"/>
          <w:highlight w:val="none"/>
        </w:rPr>
        <w:t>.</w:t>
      </w:r>
      <w:r>
        <w:rPr>
          <w:rFonts w:hint="eastAsia" w:ascii="仿宋" w:hAnsi="仿宋" w:eastAsia="仿宋" w:cs="仿宋"/>
          <w:color w:val="auto"/>
          <w:sz w:val="28"/>
          <w:szCs w:val="28"/>
          <w:highlight w:val="none"/>
          <w:lang w:val="zh-TW" w:eastAsia="zh-TW"/>
        </w:rPr>
        <w:t>乙方</w:t>
      </w:r>
      <w:r>
        <w:rPr>
          <w:rFonts w:hint="eastAsia" w:ascii="仿宋" w:hAnsi="仿宋" w:eastAsia="仿宋" w:cs="仿宋"/>
          <w:color w:val="auto"/>
          <w:sz w:val="28"/>
          <w:szCs w:val="28"/>
          <w:highlight w:val="none"/>
          <w:lang w:val="zh-TW"/>
        </w:rPr>
        <w:t>须</w:t>
      </w:r>
      <w:r>
        <w:rPr>
          <w:rFonts w:hint="eastAsia" w:ascii="仿宋" w:hAnsi="仿宋" w:eastAsia="仿宋" w:cs="仿宋"/>
          <w:color w:val="auto"/>
          <w:sz w:val="28"/>
          <w:szCs w:val="28"/>
          <w:highlight w:val="none"/>
          <w:lang w:val="zh-TW" w:eastAsia="zh-TW"/>
        </w:rPr>
        <w:t>对每次</w:t>
      </w:r>
      <w:r>
        <w:rPr>
          <w:rFonts w:hint="eastAsia" w:ascii="仿宋" w:hAnsi="仿宋" w:eastAsia="仿宋" w:cs="仿宋"/>
          <w:color w:val="auto"/>
          <w:sz w:val="28"/>
          <w:szCs w:val="28"/>
          <w:highlight w:val="none"/>
        </w:rPr>
        <w:t>服务</w:t>
      </w:r>
      <w:r>
        <w:rPr>
          <w:rFonts w:hint="eastAsia" w:ascii="仿宋" w:hAnsi="仿宋" w:eastAsia="仿宋" w:cs="仿宋"/>
          <w:color w:val="auto"/>
          <w:sz w:val="28"/>
          <w:szCs w:val="28"/>
          <w:highlight w:val="none"/>
          <w:lang w:val="zh-TW" w:eastAsia="zh-TW"/>
        </w:rPr>
        <w:t>做好验收记录（取得</w:t>
      </w:r>
      <w:r>
        <w:rPr>
          <w:rFonts w:hint="eastAsia" w:ascii="仿宋" w:hAnsi="仿宋" w:eastAsia="仿宋" w:cs="仿宋"/>
          <w:color w:val="auto"/>
          <w:sz w:val="28"/>
          <w:szCs w:val="28"/>
          <w:highlight w:val="none"/>
          <w:lang w:val="zh-TW"/>
        </w:rPr>
        <w:t>甲方人员</w:t>
      </w:r>
      <w:r>
        <w:rPr>
          <w:rFonts w:hint="eastAsia" w:ascii="仿宋" w:hAnsi="仿宋" w:eastAsia="仿宋" w:cs="仿宋"/>
          <w:color w:val="auto"/>
          <w:sz w:val="28"/>
          <w:szCs w:val="28"/>
          <w:highlight w:val="none"/>
          <w:lang w:val="zh-TW" w:eastAsia="zh-TW"/>
        </w:rPr>
        <w:t>签字证明），并负责验收材料整理，结算时提供给甲方，供甲方报销使用。</w:t>
      </w:r>
    </w:p>
    <w:p w14:paraId="64E32277">
      <w:pPr>
        <w:pStyle w:val="15"/>
        <w:keepNext w:val="0"/>
        <w:keepLines w:val="0"/>
        <w:pageBreakBefore w:val="0"/>
        <w:widowControl w:val="0"/>
        <w:kinsoku/>
        <w:wordWrap/>
        <w:overflowPunct/>
        <w:topLinePunct w:val="0"/>
        <w:autoSpaceDE/>
        <w:autoSpaceDN/>
        <w:bidi w:val="0"/>
        <w:adjustRightInd w:val="0"/>
        <w:snapToGrid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rPr>
        <w:t>八</w:t>
      </w:r>
      <w:r>
        <w:rPr>
          <w:rFonts w:hint="eastAsia" w:ascii="仿宋" w:hAnsi="仿宋" w:eastAsia="仿宋" w:cs="仿宋"/>
          <w:bCs/>
          <w:sz w:val="28"/>
          <w:szCs w:val="28"/>
          <w:highlight w:val="none"/>
          <w:lang w:val="zh-TW"/>
        </w:rPr>
        <w:t>、违约责任</w:t>
      </w:r>
    </w:p>
    <w:p w14:paraId="6A1BC12D">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因</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原因造成合同无法按时签订的，视为</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违约，</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违约对</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造成损失（包括直接损失和间接损失，间接损失包括逾期利益损失）的，应赔偿给</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造成的损失，且</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lang w:val="en-US" w:eastAsia="zh-CN"/>
        </w:rPr>
        <w:t>有权</w:t>
      </w:r>
      <w:r>
        <w:rPr>
          <w:rFonts w:hint="eastAsia" w:ascii="仿宋" w:hAnsi="仿宋" w:eastAsia="仿宋" w:cs="仿宋"/>
          <w:color w:val="auto"/>
          <w:sz w:val="28"/>
          <w:szCs w:val="28"/>
          <w:highlight w:val="none"/>
        </w:rPr>
        <w:t>没收</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lang w:val="en-US" w:eastAsia="zh-CN"/>
        </w:rPr>
        <w:t>谈判</w:t>
      </w:r>
      <w:r>
        <w:rPr>
          <w:rFonts w:hint="eastAsia" w:ascii="仿宋" w:hAnsi="仿宋" w:eastAsia="仿宋" w:cs="仿宋"/>
          <w:color w:val="auto"/>
          <w:sz w:val="28"/>
          <w:szCs w:val="28"/>
          <w:highlight w:val="none"/>
        </w:rPr>
        <w:t>保证金。</w:t>
      </w:r>
    </w:p>
    <w:p w14:paraId="73CE14E3">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乙方不按合同约定履约的，甲方可以单方面解除采购合同，没收全部履约保证金。同时，乙方须按以下约定向甲方支付违约金：乙方应按合同总金额20%支付违约金，且承担甲方为解决纠纷、实现债权及所有诉讼活动而支付的法院诉讼费、诉讼保全费、鉴定费、评估费、公证费用、律师费用、旅差费等费用。</w:t>
      </w:r>
    </w:p>
    <w:p w14:paraId="17998E05">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逾期履行服务的，</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应按</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总额每日0.5‰向</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支付违约金，由</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从待付</w:t>
      </w:r>
      <w:r>
        <w:rPr>
          <w:rFonts w:hint="eastAsia" w:ascii="仿宋" w:hAnsi="仿宋" w:eastAsia="仿宋" w:cs="仿宋"/>
          <w:color w:val="auto"/>
          <w:sz w:val="28"/>
          <w:szCs w:val="28"/>
          <w:highlight w:val="none"/>
          <w:lang w:val="en-US" w:eastAsia="zh-CN"/>
        </w:rPr>
        <w:t>款项</w:t>
      </w:r>
      <w:r>
        <w:rPr>
          <w:rFonts w:hint="eastAsia" w:ascii="仿宋" w:hAnsi="仿宋" w:eastAsia="仿宋" w:cs="仿宋"/>
          <w:color w:val="auto"/>
          <w:sz w:val="28"/>
          <w:szCs w:val="28"/>
          <w:highlight w:val="none"/>
        </w:rPr>
        <w:t>中扣除。</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无正当理由逾期超过约定日期30个日历日内仍不能交付的，视为“</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不按合同约定履约”。</w:t>
      </w:r>
    </w:p>
    <w:p w14:paraId="6CAEB64B">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所履行的服务不符合合同规定及</w:t>
      </w:r>
      <w:r>
        <w:rPr>
          <w:rFonts w:hint="eastAsia" w:ascii="仿宋" w:hAnsi="仿宋" w:eastAsia="仿宋" w:cs="仿宋"/>
          <w:color w:val="auto"/>
          <w:sz w:val="28"/>
          <w:szCs w:val="28"/>
          <w:highlight w:val="none"/>
          <w:lang w:val="en-US" w:eastAsia="zh-CN"/>
        </w:rPr>
        <w:t>谈判文件</w:t>
      </w:r>
      <w:r>
        <w:rPr>
          <w:rFonts w:hint="eastAsia" w:ascii="仿宋" w:hAnsi="仿宋" w:eastAsia="仿宋" w:cs="仿宋"/>
          <w:color w:val="auto"/>
          <w:sz w:val="28"/>
          <w:szCs w:val="28"/>
          <w:highlight w:val="none"/>
        </w:rPr>
        <w:t>规定标准的，</w:t>
      </w: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rPr>
        <w:t>有权拒绝，</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愿意整改但逾期履行的，按</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逾期履行处理。</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拒绝整改的，视为“</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不按合同约定履约”。</w:t>
      </w:r>
    </w:p>
    <w:p w14:paraId="68076423">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5.乙方应完成谈判文件约定的所有测试测评服务内容，</w:t>
      </w:r>
      <w:r>
        <w:rPr>
          <w:rFonts w:hint="eastAsia" w:ascii="仿宋" w:hAnsi="仿宋" w:eastAsia="仿宋" w:cs="仿宋"/>
          <w:color w:val="auto"/>
          <w:sz w:val="28"/>
          <w:szCs w:val="28"/>
          <w:highlight w:val="none"/>
          <w:lang w:eastAsia="zh-CN"/>
        </w:rPr>
        <w:t>非经</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lang w:eastAsia="zh-CN"/>
        </w:rPr>
        <w:t>书面同意，</w:t>
      </w:r>
      <w:r>
        <w:rPr>
          <w:rFonts w:hint="eastAsia" w:ascii="仿宋" w:hAnsi="仿宋" w:eastAsia="仿宋" w:cs="仿宋"/>
          <w:color w:val="auto"/>
          <w:sz w:val="28"/>
          <w:szCs w:val="28"/>
          <w:highlight w:val="none"/>
          <w:lang w:val="en-US" w:eastAsia="zh-CN"/>
        </w:rPr>
        <w:t>或产生</w:t>
      </w:r>
      <w:r>
        <w:rPr>
          <w:rFonts w:hint="eastAsia" w:ascii="仿宋" w:hAnsi="仿宋" w:eastAsia="仿宋" w:cs="仿宋"/>
          <w:color w:val="auto"/>
          <w:sz w:val="28"/>
          <w:szCs w:val="28"/>
          <w:highlight w:val="none"/>
          <w:lang w:eastAsia="zh-CN"/>
        </w:rPr>
        <w:t>不可抗力情形的，</w:t>
      </w: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lang w:eastAsia="zh-CN"/>
        </w:rPr>
        <w:t>单方面拒绝或放弃</w:t>
      </w:r>
      <w:r>
        <w:rPr>
          <w:rFonts w:hint="eastAsia" w:ascii="仿宋" w:hAnsi="仿宋" w:eastAsia="仿宋" w:cs="仿宋"/>
          <w:color w:val="auto"/>
          <w:sz w:val="28"/>
          <w:szCs w:val="28"/>
          <w:highlight w:val="none"/>
          <w:lang w:val="en-US" w:eastAsia="zh-CN"/>
        </w:rPr>
        <w:t>履行</w:t>
      </w:r>
      <w:r>
        <w:rPr>
          <w:rFonts w:hint="eastAsia" w:ascii="仿宋" w:hAnsi="仿宋" w:eastAsia="仿宋" w:cs="仿宋"/>
          <w:color w:val="auto"/>
          <w:sz w:val="28"/>
          <w:szCs w:val="28"/>
          <w:highlight w:val="none"/>
          <w:lang w:eastAsia="zh-CN"/>
        </w:rPr>
        <w:t>其中一项或多项测试测评</w:t>
      </w:r>
      <w:r>
        <w:rPr>
          <w:rFonts w:hint="eastAsia" w:ascii="仿宋" w:hAnsi="仿宋" w:eastAsia="仿宋" w:cs="仿宋"/>
          <w:color w:val="auto"/>
          <w:sz w:val="28"/>
          <w:szCs w:val="28"/>
          <w:highlight w:val="none"/>
          <w:lang w:val="en-US" w:eastAsia="zh-CN"/>
        </w:rPr>
        <w:t>工作内容</w:t>
      </w:r>
      <w:r>
        <w:rPr>
          <w:rFonts w:hint="eastAsia" w:ascii="仿宋" w:hAnsi="仿宋" w:eastAsia="仿宋" w:cs="仿宋"/>
          <w:color w:val="auto"/>
          <w:sz w:val="28"/>
          <w:szCs w:val="28"/>
          <w:highlight w:val="none"/>
          <w:lang w:eastAsia="zh-CN"/>
        </w:rPr>
        <w:t>的，视为“乙方不按合同约定履约”，</w:t>
      </w:r>
      <w:r>
        <w:rPr>
          <w:rFonts w:hint="eastAsia" w:ascii="仿宋" w:hAnsi="仿宋" w:eastAsia="仿宋" w:cs="仿宋"/>
          <w:color w:val="auto"/>
          <w:sz w:val="28"/>
          <w:szCs w:val="28"/>
          <w:highlight w:val="none"/>
          <w:lang w:val="en-US" w:eastAsia="zh-CN"/>
        </w:rPr>
        <w:t>且</w:t>
      </w:r>
      <w:r>
        <w:rPr>
          <w:rFonts w:hint="eastAsia" w:ascii="仿宋" w:hAnsi="仿宋" w:eastAsia="仿宋" w:cs="仿宋"/>
          <w:color w:val="auto"/>
          <w:sz w:val="28"/>
          <w:szCs w:val="28"/>
          <w:highlight w:val="none"/>
          <w:lang w:eastAsia="zh-CN"/>
        </w:rPr>
        <w:t>构成重大违约，</w:t>
      </w:r>
      <w:r>
        <w:rPr>
          <w:rFonts w:hint="eastAsia" w:ascii="仿宋" w:hAnsi="仿宋" w:eastAsia="仿宋" w:cs="仿宋"/>
          <w:color w:val="auto"/>
          <w:sz w:val="28"/>
          <w:szCs w:val="28"/>
          <w:highlight w:val="none"/>
          <w:lang w:val="en-US" w:eastAsia="zh-CN"/>
        </w:rPr>
        <w:t>甲方将</w:t>
      </w:r>
      <w:r>
        <w:rPr>
          <w:rFonts w:hint="eastAsia" w:ascii="仿宋" w:hAnsi="仿宋" w:eastAsia="仿宋" w:cs="仿宋"/>
          <w:color w:val="auto"/>
          <w:sz w:val="28"/>
          <w:szCs w:val="28"/>
          <w:highlight w:val="none"/>
          <w:lang w:eastAsia="zh-CN"/>
        </w:rPr>
        <w:t>严肃追究其违约责任，有权要求</w:t>
      </w: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lang w:eastAsia="zh-CN"/>
        </w:rPr>
        <w:t>赔偿</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lang w:eastAsia="zh-CN"/>
        </w:rPr>
        <w:t>因此产生的全部直接及间接损失，</w:t>
      </w:r>
      <w:r>
        <w:rPr>
          <w:rFonts w:hint="eastAsia" w:ascii="仿宋" w:hAnsi="仿宋" w:eastAsia="仿宋" w:cs="仿宋"/>
          <w:color w:val="auto"/>
          <w:sz w:val="28"/>
          <w:szCs w:val="28"/>
          <w:highlight w:val="none"/>
          <w:lang w:val="en-US" w:eastAsia="zh-CN"/>
        </w:rPr>
        <w:t>并</w:t>
      </w:r>
      <w:r>
        <w:rPr>
          <w:rFonts w:hint="eastAsia" w:ascii="仿宋" w:hAnsi="仿宋" w:eastAsia="仿宋" w:cs="仿宋"/>
          <w:color w:val="auto"/>
          <w:sz w:val="28"/>
          <w:szCs w:val="28"/>
          <w:highlight w:val="none"/>
          <w:lang w:eastAsia="zh-CN"/>
        </w:rPr>
        <w:t>将该违约情况报送政府采购监督管理部门。</w:t>
      </w:r>
    </w:p>
    <w:p w14:paraId="4AF23018">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6.因乙方原因导致本项目被上级通报的，通报类型为提醒类通报的，如限期整改通知书、风险告知等，每一次扣违约金5000元，通报类型为批评通报的，如安全事故追责、通报批评、行政处罚等，每一次扣违约金10000元。</w:t>
      </w:r>
    </w:p>
    <w:p w14:paraId="234A9354">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7.因乙方原因发生较大质量事故，除依约承担赔偿责任外，还将按有关质量管理办法规定执行。同时，甲方有权单方面解除合同，不予退还履约保证金。</w:t>
      </w:r>
    </w:p>
    <w:p w14:paraId="3448569B">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8.在测试测评过程中，乙方全权负责测评人员的人身安全，若因乙方原因发生安全事故（含伤亡安全事故），由乙方承担全部责任。除按国家相关管理规定及甲方有关安全管理办法执行外，报相关行政主管部门处罚。同时甲方有权单方面解除合同，不予退还履约保证金，给甲方及第三方造成损失的，还应承担赔偿责任。</w:t>
      </w:r>
    </w:p>
    <w:p w14:paraId="6DCED04E">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9.乙方应确保甲方的所有资料、技术文档妥善保管，不得遗失、转借、复印，不得以任何形式向第三方透露；所有解决方案和采集汇总后的数据严禁通过互联网等公共信息网络、普通邮政进行传递，严禁在连接互联网计算机上存储、处理；违反上述规定要求的，每发现一次，乙方应向甲方支付10000元违约金。如因乙方的原因造成数据丢失，泄密等，甲方有权单方面解除合同，不予退还履约保证金，乙方还应承担相应的法律责任，并赔偿甲方的损失。</w:t>
      </w:r>
    </w:p>
    <w:p w14:paraId="77D8E9E5">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10.乙方拟派的测试测评团队人员有违反医院规章制度的行为或服务质量无法达到合同约定要求，甲方有权要求乙方无条件更换，乙方应在5个日历日内提交拟更换人员的基本情况信息，并在甲方同意后5个日历日内更换到位，同时乙方应向甲方支付违约金10000元/人次。若团队人员出现重大疾病、伤亡或其它不可抗力因素不能继续履约的，经甲方同意后才能予以更换。所有更换人员应具备谈判文件中规定的该岗位人员应具备的相应证书，资质能力不能低于原岗位人员。若服务期内更换人员次数累计超过3次，甲方有权单方面解除合同，并不予退还履约保证金。</w:t>
      </w:r>
    </w:p>
    <w:p w14:paraId="3AB787D7">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11.除不可抗力外，乙方投标时提供的项目测试测评团队成员，未经甲方同意不得随意更换。若因乙方原因需更换人员的，应由乙方提出申请，并提交资料报甲方同意，拟更换人员</w:t>
      </w:r>
      <w:r>
        <w:rPr>
          <w:rFonts w:hint="eastAsia" w:ascii="仿宋" w:hAnsi="仿宋" w:eastAsia="仿宋" w:cs="仿宋"/>
          <w:color w:val="000000" w:themeColor="text1"/>
          <w:sz w:val="28"/>
          <w:szCs w:val="28"/>
          <w:highlight w:val="none"/>
          <w:lang w:eastAsia="zh-CN"/>
          <w14:textFill>
            <w14:solidFill>
              <w14:schemeClr w14:val="tx1"/>
            </w14:solidFill>
          </w14:textFill>
        </w:rPr>
        <w:t>资质能力不能低于原岗位人员</w:t>
      </w:r>
      <w:r>
        <w:rPr>
          <w:rFonts w:hint="eastAsia" w:ascii="仿宋" w:hAnsi="仿宋" w:eastAsia="仿宋" w:cs="仿宋"/>
          <w:color w:val="000000" w:themeColor="text1"/>
          <w:sz w:val="28"/>
          <w:szCs w:val="28"/>
          <w:highlight w:val="none"/>
          <w:lang w:val="en-US" w:eastAsia="zh-CN"/>
          <w14:textFill>
            <w14:solidFill>
              <w14:schemeClr w14:val="tx1"/>
            </w14:solidFill>
          </w14:textFill>
        </w:rPr>
        <w:t>，同时应向甲方支付违约金10000元/人次，在新人员到岗前，原岗位人员应正常履职工作。若服务期内累计申请超过3次，甲方有权单方面解除合同，并不予退还履约保证金。</w:t>
      </w:r>
    </w:p>
    <w:p w14:paraId="78B251BC">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12.除竞争性谈判文件中已明确的具体违约责任外，乙方提供的服务不符合竞争性谈判文件或合同约定，且未能按照甲方要求及时完成整改的，乙方应向甲方支付违约金1000元。</w:t>
      </w:r>
    </w:p>
    <w:p w14:paraId="3CFB8644">
      <w:pPr>
        <w:pStyle w:val="31"/>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13.乙方违约除应向甲方支付违约金外，对甲方造成损失的，还须承担相应的赔偿责任。乙方应支付的违约金、赔偿金等，甲方有权从测试测评费用或履约保证金中扣除。</w:t>
      </w:r>
    </w:p>
    <w:p w14:paraId="14B689A2">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14.</w:t>
      </w:r>
      <w:r>
        <w:rPr>
          <w:rFonts w:hint="eastAsia" w:ascii="仿宋" w:hAnsi="仿宋" w:eastAsia="仿宋" w:cs="仿宋"/>
          <w:color w:val="auto"/>
          <w:sz w:val="28"/>
          <w:szCs w:val="28"/>
          <w:highlight w:val="none"/>
        </w:rPr>
        <w:t>其他违约情形：</w:t>
      </w:r>
    </w:p>
    <w:p w14:paraId="523E2DAA">
      <w:pPr>
        <w:pStyle w:val="31"/>
        <w:keepNext w:val="0"/>
        <w:keepLines w:val="0"/>
        <w:pageBreakBefore w:val="0"/>
        <w:widowControl w:val="0"/>
        <w:kinsoku/>
        <w:wordWrap/>
        <w:overflowPunct/>
        <w:topLinePunct w:val="0"/>
        <w:autoSpaceDE/>
        <w:autoSpaceDN/>
        <w:bidi w:val="0"/>
        <w:adjustRightInd/>
        <w:snapToGrid/>
        <w:spacing w:beforeAutospacing="0" w:afterAutospacing="0" w:line="4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中途单方面无故解约，视为“</w:t>
      </w:r>
      <w:r>
        <w:rPr>
          <w:rFonts w:hint="eastAsia" w:ascii="仿宋" w:hAnsi="仿宋" w:eastAsia="仿宋" w:cs="仿宋"/>
          <w:color w:val="auto"/>
          <w:sz w:val="28"/>
          <w:szCs w:val="28"/>
          <w:highlight w:val="none"/>
          <w:lang w:eastAsia="zh-CN"/>
        </w:rPr>
        <w:t>成交供应商</w:t>
      </w:r>
      <w:r>
        <w:rPr>
          <w:rFonts w:hint="eastAsia" w:ascii="仿宋" w:hAnsi="仿宋" w:eastAsia="仿宋" w:cs="仿宋"/>
          <w:color w:val="auto"/>
          <w:sz w:val="28"/>
          <w:szCs w:val="28"/>
          <w:highlight w:val="none"/>
        </w:rPr>
        <w:t>不按合同约定履约”。</w:t>
      </w:r>
    </w:p>
    <w:p w14:paraId="459A3AB3">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sz w:val="28"/>
          <w:szCs w:val="28"/>
          <w:highlight w:val="none"/>
          <w:lang w:val="zh-TW"/>
        </w:rPr>
      </w:pPr>
      <w:r>
        <w:rPr>
          <w:rFonts w:hint="eastAsia" w:ascii="仿宋" w:hAnsi="仿宋" w:eastAsia="仿宋" w:cs="仿宋"/>
          <w:b w:val="0"/>
          <w:bCs/>
          <w:sz w:val="28"/>
          <w:szCs w:val="28"/>
          <w:highlight w:val="none"/>
          <w:lang w:val="en-US" w:eastAsia="zh-CN"/>
        </w:rPr>
        <w:t>15</w:t>
      </w:r>
      <w:r>
        <w:rPr>
          <w:rFonts w:hint="eastAsia" w:ascii="仿宋" w:hAnsi="仿宋" w:eastAsia="仿宋" w:cs="仿宋"/>
          <w:b w:val="0"/>
          <w:bCs/>
          <w:sz w:val="28"/>
          <w:szCs w:val="28"/>
          <w:highlight w:val="none"/>
        </w:rPr>
        <w:t>.</w:t>
      </w:r>
      <w:r>
        <w:rPr>
          <w:rFonts w:hint="eastAsia" w:ascii="仿宋" w:hAnsi="仿宋" w:eastAsia="仿宋" w:cs="仿宋"/>
          <w:b w:val="0"/>
          <w:bCs/>
          <w:sz w:val="28"/>
          <w:szCs w:val="28"/>
          <w:highlight w:val="none"/>
          <w:lang w:val="zh-TW"/>
        </w:rPr>
        <w:t>分包转包违约责任</w:t>
      </w:r>
    </w:p>
    <w:p w14:paraId="7BB3F6C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sz w:val="28"/>
          <w:szCs w:val="28"/>
          <w:highlight w:val="none"/>
          <w:lang w:val="zh-TW"/>
        </w:rPr>
      </w:pPr>
      <w:r>
        <w:rPr>
          <w:rFonts w:hint="eastAsia" w:ascii="仿宋" w:hAnsi="仿宋" w:eastAsia="仿宋" w:cs="仿宋"/>
          <w:b w:val="0"/>
          <w:bCs/>
          <w:sz w:val="28"/>
          <w:szCs w:val="28"/>
          <w:highlight w:val="none"/>
          <w:lang w:val="zh-TW"/>
        </w:rPr>
        <w:t>乙方不得将本项目</w:t>
      </w:r>
      <w:r>
        <w:rPr>
          <w:rFonts w:hint="eastAsia" w:ascii="仿宋" w:hAnsi="仿宋" w:eastAsia="仿宋" w:cs="仿宋"/>
          <w:b w:val="0"/>
          <w:bCs/>
          <w:sz w:val="28"/>
          <w:szCs w:val="28"/>
          <w:highlight w:val="none"/>
          <w:lang w:val="en-US" w:eastAsia="zh-CN"/>
        </w:rPr>
        <w:t>的</w:t>
      </w:r>
      <w:r>
        <w:rPr>
          <w:rFonts w:hint="eastAsia" w:ascii="仿宋" w:hAnsi="仿宋" w:eastAsia="仿宋" w:cs="仿宋"/>
          <w:b w:val="0"/>
          <w:bCs/>
          <w:sz w:val="28"/>
          <w:szCs w:val="28"/>
          <w:highlight w:val="none"/>
          <w:lang w:val="zh-TW"/>
        </w:rPr>
        <w:t>主体、关键性工作进行转包，如发现经查实，甲方有权单方解除合同并不予退还履约保证金，乙方还须支付甲方本合同金额</w:t>
      </w:r>
      <w:r>
        <w:rPr>
          <w:rFonts w:hint="eastAsia" w:ascii="仿宋" w:hAnsi="仿宋" w:eastAsia="仿宋" w:cs="仿宋"/>
          <w:b w:val="0"/>
          <w:bCs/>
          <w:sz w:val="28"/>
          <w:szCs w:val="28"/>
          <w:highlight w:val="none"/>
        </w:rPr>
        <w:t>2</w:t>
      </w:r>
      <w:r>
        <w:rPr>
          <w:rFonts w:hint="eastAsia" w:ascii="仿宋" w:hAnsi="仿宋" w:eastAsia="仿宋" w:cs="仿宋"/>
          <w:b w:val="0"/>
          <w:bCs/>
          <w:sz w:val="28"/>
          <w:szCs w:val="28"/>
          <w:highlight w:val="none"/>
          <w:lang w:val="zh-TW"/>
        </w:rPr>
        <w:t>0%的违约金。</w:t>
      </w:r>
    </w:p>
    <w:p w14:paraId="0C9116ED">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sz w:val="28"/>
          <w:szCs w:val="28"/>
          <w:highlight w:val="none"/>
          <w:lang w:val="zh-TW"/>
        </w:rPr>
      </w:pPr>
      <w:r>
        <w:rPr>
          <w:rFonts w:hint="eastAsia" w:ascii="仿宋" w:hAnsi="仿宋" w:eastAsia="仿宋" w:cs="仿宋"/>
          <w:b w:val="0"/>
          <w:bCs/>
          <w:sz w:val="28"/>
          <w:szCs w:val="28"/>
          <w:highlight w:val="none"/>
          <w:lang w:val="en-US" w:eastAsia="zh-CN"/>
        </w:rPr>
        <w:t>16</w:t>
      </w:r>
      <w:r>
        <w:rPr>
          <w:rFonts w:hint="eastAsia" w:ascii="仿宋" w:hAnsi="仿宋" w:eastAsia="仿宋" w:cs="仿宋"/>
          <w:b w:val="0"/>
          <w:bCs/>
          <w:sz w:val="28"/>
          <w:szCs w:val="28"/>
          <w:highlight w:val="none"/>
          <w:lang w:val="zh-TW"/>
        </w:rPr>
        <w:t>.进入监管区有关违约责任</w:t>
      </w:r>
    </w:p>
    <w:p w14:paraId="151AA5C6">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sz w:val="28"/>
          <w:szCs w:val="28"/>
          <w:highlight w:val="none"/>
          <w:lang w:val="zh-TW"/>
        </w:rPr>
      </w:pPr>
      <w:r>
        <w:rPr>
          <w:rFonts w:hint="eastAsia" w:ascii="仿宋" w:hAnsi="仿宋" w:eastAsia="仿宋" w:cs="仿宋"/>
          <w:b w:val="0"/>
          <w:bCs/>
          <w:sz w:val="28"/>
          <w:szCs w:val="28"/>
          <w:highlight w:val="none"/>
          <w:lang w:val="zh-TW"/>
        </w:rPr>
        <w:t>乙方进入甲方监管区的工作人员必须遵守甲方的工作制度和监管安全规定，服从甲方人员的指挥，不得为罪犯传递信息、现金、手机、毒品、枪支、刀具等违禁品、违规品，若有发现经核查属实的，乙方须马上更换工作人员，并视情况向甲方支付</w:t>
      </w:r>
      <w:r>
        <w:rPr>
          <w:rFonts w:hint="eastAsia" w:ascii="仿宋" w:hAnsi="仿宋" w:eastAsia="仿宋" w:cs="仿宋"/>
          <w:b w:val="0"/>
          <w:bCs/>
          <w:color w:val="auto"/>
          <w:sz w:val="28"/>
          <w:szCs w:val="28"/>
          <w:highlight w:val="none"/>
          <w:lang w:val="zh-TW"/>
        </w:rPr>
        <w:t>20000元</w:t>
      </w:r>
      <w:r>
        <w:rPr>
          <w:rFonts w:hint="eastAsia" w:ascii="仿宋" w:hAnsi="仿宋" w:eastAsia="仿宋" w:cs="仿宋"/>
          <w:b w:val="0"/>
          <w:bCs/>
          <w:sz w:val="28"/>
          <w:szCs w:val="28"/>
          <w:highlight w:val="none"/>
          <w:lang w:val="zh-TW"/>
        </w:rPr>
        <w:t>的违约金，违约金甲方有权直接从服务费用中扣除。发生二次（含）以上或造成严重后果的，甲方有权解除合同并不退还履约保证金，乙方还应承担相关的法律责任。</w:t>
      </w:r>
    </w:p>
    <w:p w14:paraId="4789C3C7">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val="0"/>
          <w:bCs/>
          <w:sz w:val="28"/>
          <w:szCs w:val="28"/>
          <w:highlight w:val="none"/>
          <w:lang w:val="zh-TW"/>
        </w:rPr>
      </w:pPr>
      <w:r>
        <w:rPr>
          <w:rFonts w:hint="eastAsia" w:ascii="仿宋" w:hAnsi="仿宋" w:eastAsia="仿宋" w:cs="仿宋"/>
          <w:b w:val="0"/>
          <w:bCs/>
          <w:sz w:val="28"/>
          <w:szCs w:val="28"/>
          <w:highlight w:val="none"/>
          <w:lang w:val="en-US" w:eastAsia="zh-CN"/>
        </w:rPr>
        <w:t>17</w:t>
      </w:r>
      <w:r>
        <w:rPr>
          <w:rFonts w:hint="eastAsia" w:ascii="仿宋" w:hAnsi="仿宋" w:eastAsia="仿宋" w:cs="仿宋"/>
          <w:b w:val="0"/>
          <w:bCs/>
          <w:sz w:val="28"/>
          <w:szCs w:val="28"/>
          <w:highlight w:val="none"/>
          <w:lang w:val="zh-TW"/>
        </w:rPr>
        <w:t>.诉讼相关费用承担</w:t>
      </w:r>
    </w:p>
    <w:p w14:paraId="53068BFF">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bCs/>
          <w:sz w:val="28"/>
          <w:szCs w:val="28"/>
          <w:highlight w:val="none"/>
        </w:rPr>
      </w:pPr>
      <w:r>
        <w:rPr>
          <w:rFonts w:hint="eastAsia" w:ascii="仿宋" w:hAnsi="仿宋" w:eastAsia="仿宋" w:cs="仿宋"/>
          <w:b w:val="0"/>
          <w:bCs/>
          <w:sz w:val="28"/>
          <w:szCs w:val="28"/>
          <w:highlight w:val="none"/>
          <w:lang w:val="zh-TW"/>
        </w:rPr>
        <w:t>若因乙方未履行本合同项下义务导致甲方所产生的一切损失（包括但不限于人身财产的损失、律师费、诉讼费、保全费、鉴定费等），</w:t>
      </w:r>
      <w:r>
        <w:rPr>
          <w:rFonts w:hint="eastAsia" w:ascii="仿宋" w:hAnsi="仿宋" w:eastAsia="仿宋" w:cs="仿宋"/>
          <w:sz w:val="28"/>
          <w:szCs w:val="28"/>
          <w:highlight w:val="none"/>
          <w:lang w:val="zh-TW"/>
        </w:rPr>
        <w:t>均由乙方承担违约和赔偿责任。</w:t>
      </w:r>
    </w:p>
    <w:p w14:paraId="5768535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九、违约终止合同</w:t>
      </w:r>
    </w:p>
    <w:p w14:paraId="4CCE64EA">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1.在合同履行期间，若遇政府部门或上级单位出台有关该项目的政策调整，继续履行合同违反相关政策文件要求的，甲方须提前30日通知乙方终止合同，因此造成的合同解除甲方不承担违约责任。</w:t>
      </w:r>
    </w:p>
    <w:p w14:paraId="7FC7076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 xml:space="preserve">2.在补救违约而采取的任何其他措施未能实现的情况下，即在甲方发出的书面违约通知后30天内（或经甲方书面确认的更长时间内）乙方仍未纠正其下述任何一种违约行为，甲方可向乙方发出书面解约通知，终止全部或部分协议：  </w:t>
      </w:r>
    </w:p>
    <w:p w14:paraId="3E432F96">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（1）如果乙方未能在协议约定的期限内或甲方准许的任何延期内进行服务。</w:t>
      </w:r>
    </w:p>
    <w:p w14:paraId="5F20410F">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（2）乙方未能履行协议项下的任何其它义务。</w:t>
      </w:r>
    </w:p>
    <w:p w14:paraId="0B85B31B">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十、不可抗力</w:t>
      </w:r>
    </w:p>
    <w:p w14:paraId="55FB5ED2">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1.因不可抗力造成无法依约履行合同义务的，遭受不可抗力一方应及时向对方通报不能履行或不能完全履行的理由，并在15日内向另一方提供不可抗力发生及持续期间的充分证据。基于以上行为，允许遭受不可抗力一方延期履行、部分履行或不履行合同，并根据情况可部分或全部免于承担违约责任。</w:t>
      </w:r>
    </w:p>
    <w:p w14:paraId="4443BD18">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2.本合同中的不可抗力指不能预见、不能避免、不能克服的客观情况，包括但不限于：自然灾害如地震、台风、洪水、火灾及政府行为、法律规定或其适用的变化或其他任何无法预见、避免或控制的事件。</w:t>
      </w:r>
    </w:p>
    <w:p w14:paraId="77FEE6E0">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十一、知识产权</w:t>
      </w:r>
    </w:p>
    <w:p w14:paraId="6F11334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乙方提供的服务中有涉及知识产权的部分应符合国家知识产权法律、法规的规定；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B6B7F0E">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十二、保密条款</w:t>
      </w:r>
    </w:p>
    <w:p w14:paraId="12EF8217">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应当对本合同的内容、因履行本合同或在本合同期间知悉的或收到的甲方的财务、技术、产品信息、民警资料或其他工作上的文件资料、工作内容等予以保密，不得向本合同以外的任何第三方披露，签订并严格执行《单位保密承诺书》；乙方进入甲方工作区域的工作人员需签订《个人保密承诺书》，严格履行保密义务。</w:t>
      </w:r>
    </w:p>
    <w:p w14:paraId="01A03E2D">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2.乙方违反本条约定泄露甲方的涉密信息的，应承担相应的法律责任，造成甲方损失的，乙方应当依法承担赔偿责任。</w:t>
      </w:r>
    </w:p>
    <w:p w14:paraId="02EA07F6">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3.本条款不因合同届满或解除而失效。</w:t>
      </w:r>
    </w:p>
    <w:p w14:paraId="437F4F34">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十三.廉政条款</w:t>
      </w:r>
    </w:p>
    <w:p w14:paraId="17E9AFF0">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及其工作人员不得有以任何形式行贿甲方工作人员的行为，若发现并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情节严重的，还应承担相应的法律责任。</w:t>
      </w:r>
    </w:p>
    <w:p w14:paraId="2A68755E">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十四、合同纠纷处理方式</w:t>
      </w:r>
    </w:p>
    <w:p w14:paraId="3C08D172">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1.合同争议处理方式</w:t>
      </w:r>
    </w:p>
    <w:p w14:paraId="2BA29BC7">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甲乙双方必须认真履行合同条款。因本合同或与本合同有关的一切事项发生争议，由双方友好协商解决，协商不成的，任何一方均可向甲方所在地人民法院提起诉讼。</w:t>
      </w:r>
    </w:p>
    <w:p w14:paraId="1E0A2A45">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2.合同补充和修改</w:t>
      </w:r>
    </w:p>
    <w:p w14:paraId="1B77C19C">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本合同生效后，双方对合同内容的变更或补充应采取书面形式，并经双方签字并盖章确认。</w:t>
      </w:r>
    </w:p>
    <w:p w14:paraId="0067A23D">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十五、通知与送达</w:t>
      </w:r>
    </w:p>
    <w:p w14:paraId="35A205BB">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甲方确认其送达地址为</w:t>
      </w:r>
      <w:r>
        <w:rPr>
          <w:rFonts w:hint="eastAsia" w:ascii="仿宋" w:hAnsi="仿宋" w:eastAsia="仿宋" w:cs="仿宋"/>
          <w:sz w:val="28"/>
          <w:szCs w:val="28"/>
          <w:highlight w:val="none"/>
          <w:u w:val="none" w:color="auto"/>
          <w:lang w:val="zh-TW"/>
        </w:rPr>
        <w:t>：</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none" w:color="auto"/>
        </w:rPr>
        <w:t>，</w:t>
      </w:r>
      <w:r>
        <w:rPr>
          <w:rFonts w:hint="eastAsia" w:ascii="仿宋" w:hAnsi="仿宋" w:eastAsia="仿宋" w:cs="仿宋"/>
          <w:sz w:val="28"/>
          <w:szCs w:val="28"/>
          <w:highlight w:val="none"/>
          <w:lang w:val="zh-TW"/>
        </w:rPr>
        <w:t>联系方式为</w:t>
      </w:r>
      <w:r>
        <w:rPr>
          <w:rFonts w:hint="eastAsia" w:ascii="仿宋" w:hAnsi="仿宋" w:eastAsia="仿宋" w:cs="仿宋"/>
          <w:sz w:val="28"/>
          <w:szCs w:val="28"/>
          <w:highlight w:val="none"/>
          <w:u w:val="none" w:color="auto"/>
          <w:lang w:val="zh-TW"/>
        </w:rPr>
        <w:t>：</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none" w:color="auto"/>
        </w:rPr>
        <w:t>；邮箱：</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lang w:val="zh-TW"/>
        </w:rPr>
        <w:t>。</w:t>
      </w:r>
    </w:p>
    <w:p w14:paraId="64823570">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乙方确认其送达地址为</w:t>
      </w:r>
      <w:r>
        <w:rPr>
          <w:rFonts w:hint="eastAsia" w:ascii="仿宋" w:hAnsi="仿宋" w:eastAsia="仿宋" w:cs="仿宋"/>
          <w:sz w:val="28"/>
          <w:szCs w:val="28"/>
          <w:highlight w:val="none"/>
          <w:u w:val="none" w:color="auto"/>
          <w:lang w:val="zh-TW"/>
        </w:rPr>
        <w:t>：</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lang w:val="zh-TW"/>
        </w:rPr>
        <w:t>，联系方式为：</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u w:val="none" w:color="auto"/>
        </w:rPr>
        <w:t>；邮箱：</w:t>
      </w:r>
      <w:r>
        <w:rPr>
          <w:rFonts w:hint="eastAsia" w:ascii="仿宋" w:hAnsi="仿宋" w:eastAsia="仿宋" w:cs="仿宋"/>
          <w:sz w:val="28"/>
          <w:szCs w:val="28"/>
          <w:highlight w:val="none"/>
          <w:u w:val="single" w:color="auto"/>
        </w:rPr>
        <w:t xml:space="preserve">         </w:t>
      </w:r>
      <w:r>
        <w:rPr>
          <w:rFonts w:hint="eastAsia" w:ascii="仿宋" w:hAnsi="仿宋" w:eastAsia="仿宋" w:cs="仿宋"/>
          <w:sz w:val="28"/>
          <w:szCs w:val="28"/>
          <w:highlight w:val="none"/>
          <w:lang w:val="zh-TW"/>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7509B713">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
          <w:bCs/>
          <w:sz w:val="28"/>
          <w:szCs w:val="28"/>
          <w:highlight w:val="none"/>
        </w:rPr>
      </w:pPr>
      <w:r>
        <w:rPr>
          <w:rFonts w:hint="eastAsia" w:ascii="仿宋" w:hAnsi="仿宋" w:eastAsia="仿宋" w:cs="仿宋"/>
          <w:sz w:val="28"/>
          <w:szCs w:val="28"/>
          <w:highlight w:val="none"/>
          <w:lang w:val="zh-TW"/>
        </w:rPr>
        <w:t>送达主体按照上述送达地址进行送达，视为有效送达。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6BADE857">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lang w:val="zh-TW"/>
        </w:rPr>
      </w:pPr>
      <w:r>
        <w:rPr>
          <w:rFonts w:hint="eastAsia" w:ascii="仿宋" w:hAnsi="仿宋" w:eastAsia="仿宋" w:cs="仿宋"/>
          <w:bCs/>
          <w:sz w:val="28"/>
          <w:szCs w:val="28"/>
          <w:highlight w:val="none"/>
          <w:lang w:val="zh-TW"/>
        </w:rPr>
        <w:t>十六、其他</w:t>
      </w:r>
    </w:p>
    <w:p w14:paraId="79DA2305">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1.本采购项目的招标（采购）文件、乙方的投标（响应）文件以及相关的承诺等均为本合同不可分割的一部分，与本合同具有同等法律效力。</w:t>
      </w:r>
    </w:p>
    <w:p w14:paraId="3EDA6530">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2.福建省政府采购网上签订的电子合同与本合同不一致的，以本纸质合同为准。</w:t>
      </w:r>
    </w:p>
    <w:p w14:paraId="1A097B93">
      <w:pPr>
        <w:pStyle w:val="15"/>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lang w:val="zh-TW"/>
        </w:rPr>
      </w:pPr>
      <w:r>
        <w:rPr>
          <w:rFonts w:hint="eastAsia" w:ascii="仿宋" w:hAnsi="仿宋" w:eastAsia="仿宋" w:cs="仿宋"/>
          <w:sz w:val="28"/>
          <w:szCs w:val="28"/>
          <w:highlight w:val="none"/>
          <w:lang w:val="zh-TW"/>
        </w:rPr>
        <w:t>3.本合同一式肆份，经双方法定代表人或委托代理人签章并加盖公章后生效。甲方执三份，乙方一份，具有同等法律效力。</w:t>
      </w:r>
    </w:p>
    <w:p w14:paraId="7651DEC9">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（以下无正文）</w:t>
      </w:r>
    </w:p>
    <w:p w14:paraId="328DFD26">
      <w:pPr>
        <w:pStyle w:val="7"/>
        <w:keepNext w:val="0"/>
        <w:keepLines w:val="0"/>
        <w:pageBreakBefore w:val="0"/>
        <w:widowControl w:val="0"/>
        <w:kinsoku/>
        <w:wordWrap/>
        <w:overflowPunct/>
        <w:topLinePunct w:val="0"/>
        <w:autoSpaceDE/>
        <w:autoSpaceDN/>
        <w:bidi w:val="0"/>
        <w:adjustRightInd w:val="0"/>
        <w:spacing w:beforeAutospacing="0" w:afterAutospacing="0" w:line="460" w:lineRule="exact"/>
        <w:textAlignment w:val="auto"/>
        <w:rPr>
          <w:rFonts w:hint="eastAsia" w:ascii="仿宋" w:hAnsi="仿宋" w:eastAsia="仿宋" w:cs="仿宋"/>
          <w:sz w:val="28"/>
          <w:szCs w:val="28"/>
          <w:highlight w:val="none"/>
        </w:rPr>
      </w:pPr>
    </w:p>
    <w:p w14:paraId="4195A75D">
      <w:pPr>
        <w:pStyle w:val="7"/>
        <w:keepNext w:val="0"/>
        <w:keepLines w:val="0"/>
        <w:pageBreakBefore w:val="0"/>
        <w:widowControl w:val="0"/>
        <w:kinsoku/>
        <w:wordWrap/>
        <w:overflowPunct/>
        <w:topLinePunct w:val="0"/>
        <w:autoSpaceDE/>
        <w:autoSpaceDN/>
        <w:bidi w:val="0"/>
        <w:adjustRightInd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甲方（章）：</w:t>
      </w:r>
      <w:r>
        <w:rPr>
          <w:rFonts w:hint="eastAsia" w:ascii="仿宋" w:hAnsi="仿宋" w:eastAsia="仿宋" w:cs="仿宋"/>
          <w:sz w:val="28"/>
          <w:szCs w:val="28"/>
          <w:highlight w:val="none"/>
          <w:lang w:eastAsia="zh-CN"/>
        </w:rPr>
        <w:t>福建省建新医院</w:t>
      </w:r>
      <w:r>
        <w:rPr>
          <w:rFonts w:hint="eastAsia" w:ascii="仿宋" w:hAnsi="仿宋" w:eastAsia="仿宋" w:cs="仿宋"/>
          <w:sz w:val="28"/>
          <w:szCs w:val="28"/>
          <w:highlight w:val="none"/>
        </w:rPr>
        <w:t xml:space="preserve">            乙方（章）：</w:t>
      </w:r>
    </w:p>
    <w:p w14:paraId="5B857358">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单位地址：福州市鼓楼区文林路57号</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 xml:space="preserve">    单位地址：</w:t>
      </w:r>
    </w:p>
    <w:p w14:paraId="562AA2CD">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法定代表人：（签字）                    法定代表人：（签字）  </w:t>
      </w:r>
    </w:p>
    <w:p w14:paraId="434256C3">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委托代理人：(签字)                     委托代理人：（签字）  </w:t>
      </w:r>
    </w:p>
    <w:p w14:paraId="66172FF8">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电话：                                 电话：</w:t>
      </w:r>
    </w:p>
    <w:p w14:paraId="08032021">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开户银行：                             开户银行：</w:t>
      </w:r>
    </w:p>
    <w:p w14:paraId="119F6C22">
      <w:pPr>
        <w:keepNext w:val="0"/>
        <w:keepLines w:val="0"/>
        <w:pageBreakBefore w:val="0"/>
        <w:widowControl w:val="0"/>
        <w:kinsoku/>
        <w:wordWrap/>
        <w:overflowPunct/>
        <w:topLinePunct w:val="0"/>
        <w:autoSpaceDE/>
        <w:autoSpaceDN/>
        <w:bidi w:val="0"/>
        <w:spacing w:beforeAutospacing="0" w:afterAutospacing="0" w:line="460" w:lineRule="exact"/>
        <w:ind w:firstLine="560" w:firstLineChars="200"/>
        <w:textAlignment w:val="auto"/>
        <w:rPr>
          <w:rFonts w:hint="eastAsia" w:ascii="仿宋" w:hAnsi="仿宋" w:eastAsia="仿宋" w:cs="仿宋"/>
          <w:bCs/>
          <w:sz w:val="28"/>
          <w:szCs w:val="28"/>
          <w:highlight w:val="none"/>
        </w:rPr>
      </w:pPr>
      <w:r>
        <w:rPr>
          <w:rFonts w:hint="eastAsia" w:ascii="仿宋" w:hAnsi="仿宋" w:eastAsia="仿宋" w:cs="仿宋"/>
          <w:sz w:val="28"/>
          <w:szCs w:val="28"/>
          <w:highlight w:val="none"/>
          <w:lang w:eastAsia="zh-CN"/>
        </w:rPr>
        <w:t>账号</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eastAsia="zh-CN"/>
        </w:rPr>
        <w:t>账号</w:t>
      </w:r>
      <w:r>
        <w:rPr>
          <w:rFonts w:hint="eastAsia" w:ascii="仿宋" w:hAnsi="仿宋" w:eastAsia="仿宋" w:cs="仿宋"/>
          <w:sz w:val="28"/>
          <w:szCs w:val="28"/>
          <w:highlight w:val="none"/>
        </w:rPr>
        <w:t>：</w:t>
      </w:r>
      <w:r>
        <w:rPr>
          <w:rFonts w:hint="eastAsia" w:ascii="仿宋" w:hAnsi="仿宋" w:eastAsia="仿宋" w:cs="仿宋"/>
          <w:bCs/>
          <w:sz w:val="28"/>
          <w:szCs w:val="28"/>
          <w:highlight w:val="none"/>
        </w:rPr>
        <w:t xml:space="preserve"> </w:t>
      </w:r>
    </w:p>
    <w:p w14:paraId="55AD0558">
      <w:pPr>
        <w:keepNext w:val="0"/>
        <w:keepLines w:val="0"/>
        <w:pageBreakBefore w:val="0"/>
        <w:widowControl w:val="0"/>
        <w:kinsoku/>
        <w:wordWrap/>
        <w:overflowPunct/>
        <w:topLinePunct w:val="0"/>
        <w:autoSpaceDE/>
        <w:autoSpaceDN/>
        <w:bidi w:val="0"/>
        <w:spacing w:beforeAutospacing="0" w:afterAutospacing="0" w:line="460" w:lineRule="exact"/>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签订日期：  年  月  日                 签订日期：  年  月  日</w:t>
      </w:r>
    </w:p>
    <w:p w14:paraId="4EEBE994">
      <w:pPr>
        <w:pStyle w:val="31"/>
        <w:jc w:val="both"/>
        <w:outlineLvl w:val="0"/>
        <w:rPr>
          <w:rFonts w:ascii="宋体" w:hAnsi="宋体" w:eastAsia="宋体" w:cs="宋体"/>
          <w:b/>
          <w:color w:val="auto"/>
          <w:sz w:val="36"/>
          <w:highlight w:val="none"/>
        </w:rPr>
        <w:sectPr>
          <w:pgSz w:w="11906" w:h="16838"/>
          <w:pgMar w:top="1417" w:right="1417" w:bottom="1417" w:left="1417" w:header="851" w:footer="992" w:gutter="0"/>
          <w:cols w:space="0" w:num="1"/>
          <w:rtlGutter w:val="0"/>
          <w:docGrid w:type="lines" w:linePitch="312" w:charSpace="0"/>
        </w:sectPr>
      </w:pPr>
    </w:p>
    <w:p w14:paraId="764DCCEC">
      <w:pPr>
        <w:pStyle w:val="31"/>
        <w:jc w:val="center"/>
        <w:outlineLvl w:val="0"/>
        <w:rPr>
          <w:rFonts w:hint="default" w:ascii="宋体" w:hAnsi="宋体" w:eastAsia="宋体" w:cs="宋体"/>
          <w:b/>
          <w:color w:val="auto"/>
          <w:sz w:val="36"/>
          <w:highlight w:val="none"/>
        </w:rPr>
      </w:pPr>
      <w:r>
        <w:rPr>
          <w:rFonts w:ascii="宋体" w:hAnsi="宋体" w:eastAsia="宋体" w:cs="宋体"/>
          <w:b/>
          <w:color w:val="auto"/>
          <w:sz w:val="36"/>
          <w:highlight w:val="none"/>
        </w:rPr>
        <w:t>第五章  首次响应文件格式</w:t>
      </w:r>
      <w:bookmarkEnd w:id="8"/>
    </w:p>
    <w:p w14:paraId="356C9CCF">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14:paraId="07550E6C">
      <w:pPr>
        <w:pStyle w:val="31"/>
        <w:widowControl w:val="0"/>
        <w:spacing w:line="440" w:lineRule="exact"/>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1、本附件所有格式为响应文件的组成部分，供采购人或代理机构编制谈判文件时参考使用。由于新增政策、行业管理规定或者不同项目实际特点需要</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则采购人或代理机构可以对有关表格进行必要的补充或修改，以满足实际项目的使用。</w:t>
      </w:r>
    </w:p>
    <w:p w14:paraId="35D382E4">
      <w:pPr>
        <w:pStyle w:val="31"/>
        <w:widowControl w:val="0"/>
        <w:spacing w:line="440" w:lineRule="exact"/>
        <w:rPr>
          <w:rFonts w:hint="default" w:ascii="宋体" w:hAnsi="宋体" w:eastAsia="宋体" w:cs="宋体"/>
          <w:color w:val="auto"/>
          <w:sz w:val="24"/>
          <w:szCs w:val="24"/>
          <w:highlight w:val="none"/>
        </w:rPr>
      </w:pPr>
    </w:p>
    <w:p w14:paraId="603365D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14:paraId="6BD274B9">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福建省政府采购项目竞争性谈判</w:t>
      </w:r>
    </w:p>
    <w:p w14:paraId="191B1212">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响应文件</w:t>
      </w:r>
    </w:p>
    <w:p w14:paraId="4F1430BF">
      <w:pPr>
        <w:pStyle w:val="31"/>
        <w:widowControl w:val="0"/>
        <w:spacing w:line="440" w:lineRule="exact"/>
        <w:jc w:val="center"/>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（首次）</w:t>
      </w:r>
    </w:p>
    <w:p w14:paraId="3857E634">
      <w:pPr>
        <w:pStyle w:val="31"/>
        <w:widowControl w:val="0"/>
        <w:spacing w:line="440" w:lineRule="exact"/>
        <w:jc w:val="center"/>
        <w:rPr>
          <w:rFonts w:hint="default" w:ascii="宋体" w:hAnsi="宋体" w:eastAsia="宋体" w:cs="宋体"/>
          <w:b/>
          <w:color w:val="auto"/>
          <w:sz w:val="24"/>
          <w:szCs w:val="24"/>
          <w:highlight w:val="none"/>
          <w:lang w:eastAsia="zh-CN"/>
        </w:rPr>
      </w:pPr>
    </w:p>
    <w:p w14:paraId="1C1B9B6A">
      <w:pPr>
        <w:pStyle w:val="31"/>
        <w:widowControl w:val="0"/>
        <w:spacing w:line="440" w:lineRule="exact"/>
        <w:jc w:val="center"/>
        <w:rPr>
          <w:rFonts w:hint="default" w:ascii="宋体" w:hAnsi="宋体" w:eastAsia="宋体" w:cs="宋体"/>
          <w:color w:val="auto"/>
          <w:sz w:val="24"/>
          <w:szCs w:val="24"/>
          <w:highlight w:val="none"/>
          <w:lang w:eastAsia="zh-CN"/>
        </w:rPr>
      </w:pPr>
    </w:p>
    <w:p w14:paraId="791A0687">
      <w:pPr>
        <w:pStyle w:val="31"/>
        <w:widowControl w:val="0"/>
        <w:spacing w:line="440" w:lineRule="exact"/>
        <w:jc w:val="center"/>
        <w:rPr>
          <w:rFonts w:hint="default" w:ascii="宋体" w:hAnsi="宋体" w:eastAsia="宋体" w:cs="宋体"/>
          <w:color w:val="auto"/>
          <w:sz w:val="24"/>
          <w:szCs w:val="24"/>
          <w:highlight w:val="none"/>
          <w:lang w:eastAsia="zh-CN"/>
        </w:rPr>
      </w:pPr>
    </w:p>
    <w:p w14:paraId="6709FD5C">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项目名称：</w:t>
      </w:r>
    </w:p>
    <w:p w14:paraId="72040064">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项目编号：</w:t>
      </w:r>
    </w:p>
    <w:p w14:paraId="493CB389">
      <w:pPr>
        <w:pStyle w:val="31"/>
        <w:widowControl w:val="0"/>
        <w:spacing w:line="440" w:lineRule="exact"/>
        <w:jc w:val="center"/>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采购包</w:t>
      </w:r>
      <w:r>
        <w:rPr>
          <w:rFonts w:ascii="宋体" w:hAnsi="宋体" w:eastAsia="宋体" w:cs="宋体"/>
          <w:b/>
          <w:color w:val="auto"/>
          <w:sz w:val="24"/>
          <w:szCs w:val="24"/>
          <w:highlight w:val="none"/>
          <w:lang w:eastAsia="zh-CN"/>
        </w:rPr>
        <w:t>：</w:t>
      </w:r>
    </w:p>
    <w:p w14:paraId="72CE67D9">
      <w:pPr>
        <w:pStyle w:val="31"/>
        <w:widowControl w:val="0"/>
        <w:spacing w:line="440" w:lineRule="exact"/>
        <w:jc w:val="center"/>
        <w:rPr>
          <w:rFonts w:hint="default" w:ascii="宋体" w:hAnsi="宋体" w:eastAsia="宋体" w:cs="宋体"/>
          <w:b/>
          <w:color w:val="auto"/>
          <w:sz w:val="24"/>
          <w:szCs w:val="24"/>
          <w:highlight w:val="none"/>
          <w:lang w:eastAsia="zh-CN"/>
        </w:rPr>
      </w:pPr>
    </w:p>
    <w:p w14:paraId="6A4681AF">
      <w:pPr>
        <w:pStyle w:val="31"/>
        <w:widowControl w:val="0"/>
        <w:spacing w:line="440" w:lineRule="exact"/>
        <w:jc w:val="center"/>
        <w:rPr>
          <w:rFonts w:hint="default" w:ascii="宋体" w:hAnsi="宋体" w:eastAsia="宋体" w:cs="宋体"/>
          <w:color w:val="auto"/>
          <w:sz w:val="24"/>
          <w:szCs w:val="24"/>
          <w:highlight w:val="none"/>
          <w:lang w:eastAsia="zh-CN"/>
        </w:rPr>
      </w:pPr>
    </w:p>
    <w:p w14:paraId="60A998A2">
      <w:pPr>
        <w:pStyle w:val="31"/>
        <w:widowControl w:val="0"/>
        <w:spacing w:line="440" w:lineRule="exact"/>
        <w:jc w:val="center"/>
        <w:rPr>
          <w:rFonts w:hint="default" w:ascii="宋体" w:hAnsi="宋体" w:eastAsia="宋体" w:cs="宋体"/>
          <w:color w:val="auto"/>
          <w:sz w:val="24"/>
          <w:szCs w:val="24"/>
          <w:highlight w:val="none"/>
          <w:lang w:eastAsia="zh-CN"/>
        </w:rPr>
      </w:pPr>
    </w:p>
    <w:p w14:paraId="089DFC3E">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供应商名称：</w:t>
      </w:r>
    </w:p>
    <w:p w14:paraId="17A3FC36">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日   期：</w:t>
      </w:r>
    </w:p>
    <w:p w14:paraId="65B527D0">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1B1FE0C0">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目</w:t>
      </w:r>
      <w:r>
        <w:rPr>
          <w:rFonts w:ascii="宋体" w:hAnsi="宋体" w:eastAsia="宋体" w:cs="宋体"/>
          <w:b/>
          <w:color w:val="auto"/>
          <w:sz w:val="24"/>
          <w:szCs w:val="24"/>
          <w:highlight w:val="none"/>
          <w:lang w:eastAsia="zh-CN"/>
        </w:rPr>
        <w:t xml:space="preserve">   </w:t>
      </w:r>
      <w:r>
        <w:rPr>
          <w:rFonts w:ascii="宋体" w:hAnsi="宋体" w:eastAsia="宋体" w:cs="宋体"/>
          <w:b/>
          <w:color w:val="auto"/>
          <w:sz w:val="24"/>
          <w:szCs w:val="24"/>
          <w:highlight w:val="none"/>
        </w:rPr>
        <w:t>录</w:t>
      </w:r>
    </w:p>
    <w:p w14:paraId="5831A901">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附件1：谈判响应声明</w:t>
      </w:r>
    </w:p>
    <w:p w14:paraId="62C9FABE">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附件2：</w:t>
      </w:r>
      <w:r>
        <w:rPr>
          <w:rFonts w:ascii="宋体" w:hAnsi="宋体" w:eastAsia="宋体" w:cs="宋体"/>
          <w:color w:val="auto"/>
          <w:sz w:val="24"/>
          <w:szCs w:val="24"/>
          <w:highlight w:val="none"/>
        </w:rPr>
        <w:t>报价一览表（含详细报价书）</w:t>
      </w:r>
    </w:p>
    <w:p w14:paraId="66C9BBE2">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附件3：资格证明文件</w:t>
      </w:r>
    </w:p>
    <w:p w14:paraId="3743A38E">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附件4：谈判保证金凭证</w:t>
      </w:r>
    </w:p>
    <w:p w14:paraId="0992E2C3">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附件5：技术、服务和商务响应表</w:t>
      </w:r>
    </w:p>
    <w:p w14:paraId="0E679350">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附件6：相关技术、商务、服务响应承诺及资料</w:t>
      </w:r>
    </w:p>
    <w:p w14:paraId="2AB89730">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附件7：供应商提交符合政府采购政策的证明材料</w:t>
      </w:r>
    </w:p>
    <w:p w14:paraId="6D1A6A83">
      <w:pPr>
        <w:pStyle w:val="31"/>
        <w:widowControl w:val="0"/>
        <w:spacing w:line="440" w:lineRule="exact"/>
        <w:ind w:firstLine="480"/>
        <w:rPr>
          <w:rFonts w:hint="default" w:ascii="宋体" w:hAnsi="宋体" w:eastAsia="宋体" w:cs="宋体"/>
          <w:color w:val="auto"/>
          <w:sz w:val="24"/>
          <w:szCs w:val="24"/>
          <w:highlight w:val="none"/>
        </w:rPr>
      </w:pPr>
      <w:r>
        <w:rPr>
          <w:rFonts w:hint="default" w:ascii="宋体" w:hAnsi="宋体" w:eastAsia="宋体" w:cs="宋体"/>
          <w:color w:val="auto"/>
          <w:sz w:val="24"/>
          <w:szCs w:val="24"/>
          <w:highlight w:val="none"/>
        </w:rPr>
        <w:t>附件8：要求作为响应文件组成部分的其他内容（若有）</w:t>
      </w:r>
    </w:p>
    <w:p w14:paraId="2CB7017B">
      <w:pPr>
        <w:spacing w:line="440" w:lineRule="exact"/>
        <w:rPr>
          <w:rFonts w:ascii="宋体" w:hAnsi="宋体" w:eastAsia="宋体" w:cs="宋体"/>
          <w:b/>
          <w:color w:val="auto"/>
          <w:sz w:val="24"/>
          <w:highlight w:val="none"/>
        </w:rPr>
      </w:pPr>
    </w:p>
    <w:p w14:paraId="3B0AA6BD">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03F7E837">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附件1 谈判响应声明</w:t>
      </w:r>
    </w:p>
    <w:p w14:paraId="663EA20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采购人或采购代理机构</w:t>
      </w:r>
      <w:r>
        <w:rPr>
          <w:rFonts w:ascii="宋体" w:hAnsi="宋体" w:eastAsia="宋体" w:cs="宋体"/>
          <w:color w:val="auto"/>
          <w:sz w:val="24"/>
          <w:szCs w:val="24"/>
          <w:highlight w:val="none"/>
          <w:lang w:eastAsia="zh-CN"/>
        </w:rPr>
        <w:t>）</w:t>
      </w:r>
    </w:p>
    <w:p w14:paraId="184D33F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1.根据贵方为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项目（项目编号</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的采购公告（或采购邀请书），我方签字代表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（全名、职务）</w:t>
      </w:r>
      <w:r>
        <w:rPr>
          <w:rFonts w:ascii="宋体" w:hAnsi="宋体" w:eastAsia="宋体" w:cs="宋体"/>
          <w:color w:val="auto"/>
          <w:sz w:val="24"/>
          <w:szCs w:val="24"/>
          <w:highlight w:val="none"/>
        </w:rPr>
        <w:t>经正式授权并代表的供应商</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（供应商名称、地址）</w:t>
      </w:r>
      <w:r>
        <w:rPr>
          <w:rFonts w:ascii="宋体" w:hAnsi="宋体" w:eastAsia="宋体" w:cs="宋体"/>
          <w:color w:val="auto"/>
          <w:sz w:val="24"/>
          <w:szCs w:val="24"/>
          <w:highlight w:val="none"/>
        </w:rPr>
        <w:t>提交包含下述内容的首次响应纸质文件正本</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套，副本</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套及电子文档</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套。</w:t>
      </w:r>
    </w:p>
    <w:p w14:paraId="622425B7">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（1）谈判响应声明</w:t>
      </w:r>
    </w:p>
    <w:p w14:paraId="0ECA538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（2）报价一览表（含详细报价书）</w:t>
      </w:r>
    </w:p>
    <w:p w14:paraId="0A4AAF3F">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（3）资格证明文件</w:t>
      </w:r>
    </w:p>
    <w:p w14:paraId="34D74C92">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（4）谈判保证金凭证</w:t>
      </w:r>
    </w:p>
    <w:p w14:paraId="289C58FB">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（5）技术、服务和商务响应表</w:t>
      </w:r>
    </w:p>
    <w:p w14:paraId="168399FB">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（6）相关技术、商务、服务响应承诺及资料</w:t>
      </w:r>
    </w:p>
    <w:p w14:paraId="0BF69428">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（7）供应商提交符合政府采购政策的证明材料</w:t>
      </w:r>
    </w:p>
    <w:p w14:paraId="4B631815">
      <w:pPr>
        <w:pStyle w:val="31"/>
        <w:widowControl w:val="0"/>
        <w:spacing w:line="440" w:lineRule="exact"/>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（8）按照谈判文件规定，要求作为响应文件组成部分的其他内容（若有）</w:t>
      </w:r>
    </w:p>
    <w:p w14:paraId="4E34FEF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2.据此函，我方宣布响应承诺如下：</w:t>
      </w:r>
    </w:p>
    <w:p w14:paraId="4197936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14:paraId="7EB4455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14:paraId="37A6C6C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09C4E42">
      <w:pPr>
        <w:pStyle w:val="31"/>
        <w:widowControl w:val="0"/>
        <w:spacing w:line="440" w:lineRule="exact"/>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我方已经按照谈判文件要求提交谈判保证金。我方如果发生任何竞争性谈判文件中所述不予退还谈判保证金的情况，则我方的谈判保证金将被贵方不予退还，我方对此无异议。谈判保证金或保函有效期与响应文件有效期保持一致。</w:t>
      </w:r>
    </w:p>
    <w:p w14:paraId="150D258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5</w:t>
      </w:r>
      <w:r>
        <w:rPr>
          <w:rFonts w:ascii="宋体" w:hAnsi="宋体" w:eastAsia="宋体" w:cs="宋体"/>
          <w:color w:val="auto"/>
          <w:sz w:val="24"/>
          <w:szCs w:val="24"/>
          <w:highlight w:val="none"/>
        </w:rPr>
        <w:t>我方愿意向贵方提供任何与本项目谈判采购有关的数据或资料。若贵方需要，我方愿意提供我方作出的一切承诺的证明材料。</w:t>
      </w:r>
    </w:p>
    <w:p w14:paraId="0FEA0E7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6</w:t>
      </w:r>
      <w:r>
        <w:rPr>
          <w:rFonts w:ascii="宋体" w:hAnsi="宋体" w:eastAsia="宋体" w:cs="宋体"/>
          <w:color w:val="auto"/>
          <w:sz w:val="24"/>
          <w:szCs w:val="24"/>
          <w:highlight w:val="none"/>
        </w:rPr>
        <w:t>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6CDCB3D5">
      <w:pPr>
        <w:pStyle w:val="31"/>
        <w:widowControl w:val="0"/>
        <w:spacing w:line="44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2.7我方承诺遵守《中华人民共和国劳动合同法》有关规定和《中华人民共和国妇女权益保障法 》中关于“劳动和社会保障权益”的有关要求。</w:t>
      </w:r>
    </w:p>
    <w:p w14:paraId="794A17E8">
      <w:pPr>
        <w:pStyle w:val="31"/>
        <w:widowControl w:val="0"/>
        <w:spacing w:line="440" w:lineRule="exact"/>
        <w:ind w:firstLine="480"/>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rPr>
        <w:t>2.8我方承诺响应文件所提供的全部资料真实可靠，并接受谈判小组、采购人、采购代理机构、监管部门进一步审查其中任何资料真实性的要求。</w:t>
      </w:r>
      <w:r>
        <w:rPr>
          <w:rFonts w:ascii="宋体" w:hAnsi="宋体" w:eastAsia="宋体" w:cs="宋体"/>
          <w:color w:val="auto"/>
          <w:sz w:val="24"/>
          <w:szCs w:val="24"/>
          <w:highlight w:val="none"/>
        </w:rPr>
        <w:t>通信地址</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14:paraId="566F19B9">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邮编：</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传真号：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14:paraId="3AB6804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联系电话（固定电话和移动电话）：</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14:paraId="54A44C5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7106C03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供应商代表电子信箱：</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14:paraId="72E9B8C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w:t>
      </w:r>
      <w:r>
        <w:rPr>
          <w:rFonts w:ascii="宋体" w:hAnsi="宋体" w:eastAsia="宋体" w:cs="宋体"/>
          <w:color w:val="auto"/>
          <w:sz w:val="24"/>
          <w:szCs w:val="24"/>
          <w:highlight w:val="none"/>
          <w:u w:val="single"/>
          <w:lang w:eastAsia="zh-CN"/>
        </w:rPr>
        <w:t>全称</w:t>
      </w:r>
      <w:r>
        <w:rPr>
          <w:rFonts w:ascii="宋体" w:hAnsi="宋体" w:eastAsia="宋体" w:cs="宋体"/>
          <w:color w:val="auto"/>
          <w:sz w:val="24"/>
          <w:szCs w:val="24"/>
          <w:highlight w:val="none"/>
          <w:u w:val="single"/>
        </w:rPr>
        <w:t>并加盖公章）</w:t>
      </w:r>
    </w:p>
    <w:p w14:paraId="1223048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日</w:t>
      </w:r>
    </w:p>
    <w:p w14:paraId="241ED923">
      <w:pPr>
        <w:spacing w:line="440" w:lineRule="exact"/>
        <w:rPr>
          <w:rFonts w:ascii="宋体" w:hAnsi="宋体" w:eastAsia="宋体" w:cs="宋体"/>
          <w:b/>
          <w:color w:val="auto"/>
          <w:sz w:val="24"/>
          <w:highlight w:val="none"/>
        </w:rPr>
      </w:pPr>
    </w:p>
    <w:p w14:paraId="55ABAF8B">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23379449">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附件2 报价一览表</w:t>
      </w:r>
    </w:p>
    <w:p w14:paraId="556AFC3F">
      <w:pPr>
        <w:pStyle w:val="31"/>
        <w:widowControl w:val="0"/>
        <w:spacing w:line="440" w:lineRule="exact"/>
        <w:rPr>
          <w:rFonts w:hint="default" w:ascii="宋体" w:hAnsi="宋体" w:eastAsia="宋体" w:cs="宋体"/>
          <w:color w:val="auto"/>
          <w:sz w:val="24"/>
          <w:szCs w:val="24"/>
          <w:highlight w:val="none"/>
        </w:rPr>
      </w:pPr>
    </w:p>
    <w:p w14:paraId="0BFE1FB1">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供</w:t>
      </w:r>
      <w:r>
        <w:rPr>
          <w:rFonts w:ascii="宋体" w:hAnsi="宋体" w:eastAsia="宋体" w:cs="宋体"/>
          <w:color w:val="auto"/>
          <w:sz w:val="24"/>
          <w:szCs w:val="24"/>
          <w:highlight w:val="none"/>
        </w:rPr>
        <w:t>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货币单位：元人民币</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4"/>
        <w:gridCol w:w="1519"/>
        <w:gridCol w:w="2268"/>
        <w:gridCol w:w="2026"/>
        <w:gridCol w:w="2026"/>
      </w:tblGrid>
      <w:tr w14:paraId="7C636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1B7AF0C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14:paraId="4FB2AEFA">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首次报价</w:t>
            </w:r>
          </w:p>
        </w:tc>
        <w:tc>
          <w:tcPr>
            <w:tcW w:w="2268" w:type="dxa"/>
          </w:tcPr>
          <w:p w14:paraId="3D60F2A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交货期/工期/项目完成时间/服务时间</w:t>
            </w:r>
          </w:p>
        </w:tc>
        <w:tc>
          <w:tcPr>
            <w:tcW w:w="2026" w:type="dxa"/>
          </w:tcPr>
          <w:p w14:paraId="6115E21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谈判保证金</w:t>
            </w:r>
          </w:p>
        </w:tc>
        <w:tc>
          <w:tcPr>
            <w:tcW w:w="2026" w:type="dxa"/>
          </w:tcPr>
          <w:p w14:paraId="1F41A330">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r>
      <w:tr w14:paraId="26105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4C63B84E">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w:t>
            </w:r>
          </w:p>
        </w:tc>
        <w:tc>
          <w:tcPr>
            <w:tcW w:w="1519" w:type="dxa"/>
          </w:tcPr>
          <w:p w14:paraId="2C4A2E1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68" w:type="dxa"/>
          </w:tcPr>
          <w:p w14:paraId="1D92872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vAlign w:val="center"/>
          </w:tcPr>
          <w:p w14:paraId="5EDAD51F">
            <w:pPr>
              <w:pStyle w:val="31"/>
              <w:widowControl w:val="0"/>
              <w:spacing w:line="440" w:lineRule="exact"/>
              <w:jc w:val="center"/>
              <w:rPr>
                <w:rFonts w:hint="default" w:ascii="宋体" w:hAnsi="宋体" w:eastAsia="宋体" w:cs="宋体"/>
                <w:color w:val="auto"/>
                <w:sz w:val="24"/>
                <w:szCs w:val="24"/>
                <w:highlight w:val="none"/>
                <w:lang w:eastAsia="zh-CN"/>
              </w:rPr>
            </w:pPr>
          </w:p>
        </w:tc>
        <w:tc>
          <w:tcPr>
            <w:tcW w:w="2026" w:type="dxa"/>
          </w:tcPr>
          <w:p w14:paraId="7D64EFA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1D308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73362EA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w:t>
            </w:r>
          </w:p>
        </w:tc>
        <w:tc>
          <w:tcPr>
            <w:tcW w:w="1519" w:type="dxa"/>
          </w:tcPr>
          <w:p w14:paraId="2B5D7904">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68" w:type="dxa"/>
          </w:tcPr>
          <w:p w14:paraId="2764C64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7A7FA24B">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4FA8DE1D">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0E32F1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254F770A">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w:t>
            </w:r>
          </w:p>
        </w:tc>
        <w:tc>
          <w:tcPr>
            <w:tcW w:w="1519" w:type="dxa"/>
          </w:tcPr>
          <w:p w14:paraId="78BBDB5E">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68" w:type="dxa"/>
          </w:tcPr>
          <w:p w14:paraId="05770DC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68E03FA2">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0450CB2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14:paraId="1E96D59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备注：详细报价书另纸详列，格式自拟。</w:t>
      </w:r>
    </w:p>
    <w:p w14:paraId="4DE56F0F">
      <w:pPr>
        <w:pStyle w:val="31"/>
        <w:widowControl w:val="0"/>
        <w:spacing w:line="440" w:lineRule="exact"/>
        <w:ind w:firstLine="480"/>
        <w:rPr>
          <w:rFonts w:hint="default" w:ascii="宋体" w:hAnsi="宋体" w:eastAsia="宋体" w:cs="宋体"/>
          <w:color w:val="auto"/>
          <w:sz w:val="24"/>
          <w:szCs w:val="24"/>
          <w:highlight w:val="none"/>
        </w:rPr>
      </w:pPr>
    </w:p>
    <w:p w14:paraId="3FEE417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56C93E09">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73CA6B19">
      <w:pPr>
        <w:pStyle w:val="31"/>
        <w:widowControl w:val="0"/>
        <w:spacing w:line="440" w:lineRule="exact"/>
        <w:jc w:val="center"/>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附件2-1 详细报价书</w:t>
      </w:r>
      <w:r>
        <w:rPr>
          <w:rFonts w:ascii="宋体" w:hAnsi="宋体" w:eastAsia="宋体" w:cs="宋体"/>
          <w:b/>
          <w:color w:val="auto"/>
          <w:sz w:val="24"/>
          <w:szCs w:val="24"/>
          <w:highlight w:val="none"/>
          <w:lang w:eastAsia="zh-CN"/>
        </w:rPr>
        <w:t>（若有）</w:t>
      </w:r>
    </w:p>
    <w:p w14:paraId="56E63DA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14:paraId="32D7D9B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1.各供应商应根据竞争性谈判文件的要求，在响应文件中提出为完成本项目相应采购包工作所</w:t>
      </w:r>
      <w:r>
        <w:rPr>
          <w:rFonts w:ascii="宋体" w:hAnsi="宋体" w:eastAsia="宋体" w:cs="宋体"/>
          <w:color w:val="auto"/>
          <w:sz w:val="24"/>
          <w:szCs w:val="24"/>
          <w:highlight w:val="none"/>
          <w:lang w:eastAsia="zh-CN"/>
        </w:rPr>
        <w:t>必须包含</w:t>
      </w:r>
      <w:r>
        <w:rPr>
          <w:rFonts w:ascii="宋体" w:hAnsi="宋体" w:eastAsia="宋体" w:cs="宋体"/>
          <w:color w:val="auto"/>
          <w:sz w:val="24"/>
          <w:szCs w:val="24"/>
          <w:highlight w:val="none"/>
        </w:rPr>
        <w:t>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14:paraId="65F1301C">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5F69E7E2">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3.对于不能详细列明采购标的的技术、服务要求的谈判采购项目或者如优惠率谈判、单价谈判等特殊类型的谈判采购项目，由供应商根据谈判文件的具体规定和项目特点提交详细报价书，采购人或采购代理机构如果对详细报价书有统一格式要求的，可以进行规定或附表。如果没有特别要求的，则格式由供应商根据项目特点自行拟制。</w:t>
      </w:r>
    </w:p>
    <w:p w14:paraId="31783C89">
      <w:pPr>
        <w:pStyle w:val="31"/>
        <w:widowControl w:val="0"/>
        <w:spacing w:line="440" w:lineRule="exact"/>
        <w:ind w:firstLine="480"/>
        <w:rPr>
          <w:rFonts w:hint="default" w:ascii="宋体" w:hAnsi="宋体" w:eastAsia="宋体" w:cs="宋体"/>
          <w:color w:val="auto"/>
          <w:sz w:val="24"/>
          <w:szCs w:val="24"/>
          <w:highlight w:val="none"/>
          <w:lang w:eastAsia="zh-CN"/>
        </w:rPr>
      </w:pPr>
    </w:p>
    <w:p w14:paraId="3E36F48D">
      <w:pPr>
        <w:pStyle w:val="31"/>
        <w:widowControl w:val="0"/>
        <w:spacing w:line="440" w:lineRule="exact"/>
        <w:ind w:firstLine="480"/>
        <w:rPr>
          <w:rFonts w:hint="default" w:ascii="宋体" w:hAnsi="宋体" w:eastAsia="宋体" w:cs="宋体"/>
          <w:color w:val="auto"/>
          <w:sz w:val="24"/>
          <w:szCs w:val="24"/>
          <w:highlight w:val="none"/>
          <w:lang w:eastAsia="zh-CN"/>
        </w:rPr>
      </w:pPr>
    </w:p>
    <w:p w14:paraId="619D1ADE">
      <w:pPr>
        <w:pStyle w:val="31"/>
        <w:widowControl w:val="0"/>
        <w:spacing w:line="440" w:lineRule="exact"/>
        <w:ind w:firstLine="480"/>
        <w:rPr>
          <w:rFonts w:hint="default" w:ascii="宋体" w:hAnsi="宋体" w:eastAsia="宋体" w:cs="宋体"/>
          <w:color w:val="auto"/>
          <w:sz w:val="24"/>
          <w:szCs w:val="24"/>
          <w:highlight w:val="none"/>
          <w:lang w:eastAsia="zh-CN"/>
        </w:rPr>
      </w:pPr>
    </w:p>
    <w:p w14:paraId="2E26BE5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469F976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365A1E7B">
      <w:pPr>
        <w:pStyle w:val="31"/>
        <w:widowControl w:val="0"/>
        <w:spacing w:line="440" w:lineRule="exact"/>
        <w:ind w:firstLine="480"/>
        <w:rPr>
          <w:rFonts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2F54D867">
      <w:pPr>
        <w:pStyle w:val="31"/>
        <w:widowControl w:val="0"/>
        <w:spacing w:line="440" w:lineRule="exact"/>
        <w:ind w:firstLine="480"/>
        <w:rPr>
          <w:rFonts w:hint="default" w:ascii="宋体" w:hAnsi="宋体" w:eastAsia="宋体" w:cs="宋体"/>
          <w:color w:val="auto"/>
          <w:sz w:val="24"/>
          <w:szCs w:val="24"/>
          <w:highlight w:val="none"/>
          <w:lang w:eastAsia="zh-CN"/>
        </w:rPr>
        <w:sectPr>
          <w:pgSz w:w="11906" w:h="16838"/>
          <w:pgMar w:top="1417" w:right="1417" w:bottom="1417" w:left="1417" w:header="851" w:footer="992" w:gutter="0"/>
          <w:cols w:space="0" w:num="1"/>
          <w:rtlGutter w:val="0"/>
          <w:docGrid w:type="lines" w:linePitch="312" w:charSpace="0"/>
        </w:sectPr>
      </w:pPr>
    </w:p>
    <w:p w14:paraId="254AAE24">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  资格证明文件</w:t>
      </w:r>
    </w:p>
    <w:p w14:paraId="01461A22">
      <w:pPr>
        <w:pStyle w:val="31"/>
        <w:widowControl w:val="0"/>
        <w:spacing w:line="44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附件3-1 参加竞争性谈判的声明函 </w:t>
      </w:r>
    </w:p>
    <w:p w14:paraId="7570D010">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采购人或采购代理机构</w:t>
      </w:r>
      <w:r>
        <w:rPr>
          <w:rFonts w:ascii="宋体" w:hAnsi="宋体" w:eastAsia="宋体" w:cs="宋体"/>
          <w:color w:val="auto"/>
          <w:sz w:val="24"/>
          <w:szCs w:val="24"/>
          <w:highlight w:val="none"/>
          <w:lang w:eastAsia="zh-CN"/>
        </w:rPr>
        <w:t>）</w:t>
      </w:r>
    </w:p>
    <w:p w14:paraId="5EE7D1D1">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1、关于贵方</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14:paraId="27604B22">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2、供应商的基本概况：</w:t>
      </w:r>
    </w:p>
    <w:p w14:paraId="0BF6F210">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2.1供应商单位名称：</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14:paraId="2E042FDA">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2.2注册地址：</w:t>
      </w:r>
      <w:r>
        <w:rPr>
          <w:rFonts w:ascii="宋体" w:hAnsi="宋体" w:eastAsia="宋体" w:cs="宋体"/>
          <w:color w:val="auto"/>
          <w:sz w:val="24"/>
          <w:szCs w:val="24"/>
          <w:highlight w:val="none"/>
          <w:u w:val="single"/>
        </w:rPr>
        <w:t xml:space="preserve">                    </w:t>
      </w:r>
    </w:p>
    <w:p w14:paraId="5EDB9FC6">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2.3单位负责人姓名：</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性别</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年龄：</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职务：</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14:paraId="4EE0595A">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备注：“单位负责人”指单位法定代表人（供应商为法人的）或法律、法规规定代表单位行使职权的主要负责人（供应商为其他组织的）。</w:t>
      </w:r>
    </w:p>
    <w:p w14:paraId="37693188">
      <w:pPr>
        <w:pStyle w:val="31"/>
        <w:widowControl w:val="0"/>
        <w:spacing w:line="440" w:lineRule="exact"/>
        <w:ind w:firstLine="482"/>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对于接受联合体形式的谈判且供应商是联合体的，则联合体各成员都应当提交本资格证明文件。</w:t>
      </w:r>
    </w:p>
    <w:p w14:paraId="29178BBC">
      <w:pPr>
        <w:pStyle w:val="31"/>
        <w:widowControl w:val="0"/>
        <w:spacing w:line="440" w:lineRule="exact"/>
        <w:ind w:firstLine="482"/>
        <w:rPr>
          <w:rFonts w:hint="default" w:ascii="宋体" w:hAnsi="宋体" w:eastAsia="宋体" w:cs="宋体"/>
          <w:color w:val="auto"/>
          <w:sz w:val="24"/>
          <w:szCs w:val="24"/>
          <w:highlight w:val="none"/>
          <w:lang w:eastAsia="zh-CN"/>
        </w:rPr>
      </w:pPr>
    </w:p>
    <w:p w14:paraId="0647777E">
      <w:pPr>
        <w:pStyle w:val="31"/>
        <w:widowControl w:val="0"/>
        <w:spacing w:line="440" w:lineRule="exact"/>
        <w:ind w:firstLine="482"/>
        <w:rPr>
          <w:rFonts w:hint="default" w:ascii="宋体" w:hAnsi="宋体" w:eastAsia="宋体" w:cs="宋体"/>
          <w:color w:val="auto"/>
          <w:sz w:val="24"/>
          <w:szCs w:val="24"/>
          <w:highlight w:val="none"/>
          <w:lang w:eastAsia="zh-CN"/>
        </w:rPr>
      </w:pPr>
    </w:p>
    <w:p w14:paraId="19B67E9C">
      <w:pPr>
        <w:pStyle w:val="31"/>
        <w:widowControl w:val="0"/>
        <w:spacing w:line="440" w:lineRule="exact"/>
        <w:ind w:firstLine="482"/>
        <w:rPr>
          <w:rFonts w:hint="default" w:ascii="宋体" w:hAnsi="宋体" w:eastAsia="宋体" w:cs="宋体"/>
          <w:color w:val="auto"/>
          <w:sz w:val="24"/>
          <w:szCs w:val="24"/>
          <w:highlight w:val="none"/>
          <w:lang w:eastAsia="zh-CN"/>
        </w:rPr>
      </w:pPr>
    </w:p>
    <w:p w14:paraId="1E913AB4">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14311D24">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4B50CF17">
      <w:pPr>
        <w:pStyle w:val="31"/>
        <w:widowControl w:val="0"/>
        <w:spacing w:line="440" w:lineRule="exact"/>
        <w:ind w:firstLine="482"/>
        <w:rPr>
          <w:rFonts w:ascii="宋体" w:hAnsi="宋体" w:eastAsia="宋体" w:cs="宋体"/>
          <w:b/>
          <w:color w:val="auto"/>
          <w:sz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4DF1A82C">
      <w:pPr>
        <w:pStyle w:val="31"/>
        <w:widowControl w:val="0"/>
        <w:spacing w:line="440" w:lineRule="exact"/>
        <w:jc w:val="center"/>
        <w:outlineLvl w:val="2"/>
        <w:rPr>
          <w:rFonts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0126E1A6">
      <w:pPr>
        <w:pStyle w:val="31"/>
        <w:widowControl w:val="0"/>
        <w:spacing w:line="440" w:lineRule="exact"/>
        <w:jc w:val="center"/>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附件3-</w:t>
      </w:r>
      <w:r>
        <w:rPr>
          <w:rFonts w:hint="eastAsia" w:ascii="宋体" w:hAnsi="宋体" w:eastAsia="宋体" w:cs="宋体"/>
          <w:b/>
          <w:color w:val="auto"/>
          <w:sz w:val="24"/>
          <w:szCs w:val="24"/>
          <w:highlight w:val="none"/>
          <w:lang w:val="en-US" w:eastAsia="zh-CN"/>
        </w:rPr>
        <w:t>2</w:t>
      </w:r>
      <w:r>
        <w:rPr>
          <w:rFonts w:ascii="宋体" w:hAnsi="宋体" w:eastAsia="宋体" w:cs="宋体"/>
          <w:b/>
          <w:color w:val="auto"/>
          <w:sz w:val="24"/>
          <w:szCs w:val="24"/>
          <w:highlight w:val="none"/>
        </w:rPr>
        <w:t xml:space="preserve"> 供应商的资格声明</w:t>
      </w:r>
    </w:p>
    <w:p w14:paraId="73CB703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6FE7FF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19"/>
        <w:tblW w:w="941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73"/>
        <w:gridCol w:w="2438"/>
      </w:tblGrid>
      <w:tr w14:paraId="74D97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973" w:type="dxa"/>
          </w:tcPr>
          <w:p w14:paraId="57E8C7F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《中华人民共和国政府采购法》第二十二条对供应商的要求</w:t>
            </w:r>
          </w:p>
        </w:tc>
        <w:tc>
          <w:tcPr>
            <w:tcW w:w="2438" w:type="dxa"/>
          </w:tcPr>
          <w:p w14:paraId="6A79E2A7">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供应商对是否符合要求做如实声明</w:t>
            </w:r>
          </w:p>
        </w:tc>
      </w:tr>
      <w:tr w14:paraId="40CE2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5627A62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tc>
        <w:tc>
          <w:tcPr>
            <w:tcW w:w="2438" w:type="dxa"/>
          </w:tcPr>
          <w:p w14:paraId="400BD2D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19FF29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1634095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tc>
        <w:tc>
          <w:tcPr>
            <w:tcW w:w="2438" w:type="dxa"/>
          </w:tcPr>
          <w:p w14:paraId="138A4FE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737EC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10CBC90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tc>
        <w:tc>
          <w:tcPr>
            <w:tcW w:w="2438" w:type="dxa"/>
          </w:tcPr>
          <w:p w14:paraId="2EAB3FF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7CDC33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5064BAB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tc>
        <w:tc>
          <w:tcPr>
            <w:tcW w:w="2438" w:type="dxa"/>
          </w:tcPr>
          <w:p w14:paraId="0294577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08B45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7E2D6A4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tc>
        <w:tc>
          <w:tcPr>
            <w:tcW w:w="2438" w:type="dxa"/>
          </w:tcPr>
          <w:p w14:paraId="54C7B59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4A04C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55C18B1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tc>
        <w:tc>
          <w:tcPr>
            <w:tcW w:w="2438" w:type="dxa"/>
          </w:tcPr>
          <w:p w14:paraId="3EF83E2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6265D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6DCAC45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谈判文件对合格供应商的一般规定</w:t>
            </w:r>
          </w:p>
        </w:tc>
        <w:tc>
          <w:tcPr>
            <w:tcW w:w="2438" w:type="dxa"/>
          </w:tcPr>
          <w:p w14:paraId="2266C077">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供应商对是否违反一般规定做如实声明</w:t>
            </w:r>
          </w:p>
        </w:tc>
      </w:tr>
      <w:tr w14:paraId="0E13F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76AA76B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2438" w:type="dxa"/>
          </w:tcPr>
          <w:p w14:paraId="4366A37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26C73B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29F83394">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为采购项目提供整体设计、规范编制或项目管理、监理、检测等服务的供应商，不得再参加该采购项目除整体设计、规范编制和项目管理、监理、检测等服务之外的其他采购活动。</w:t>
            </w:r>
          </w:p>
        </w:tc>
        <w:tc>
          <w:tcPr>
            <w:tcW w:w="2438" w:type="dxa"/>
          </w:tcPr>
          <w:p w14:paraId="29FC208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28600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73" w:type="dxa"/>
          </w:tcPr>
          <w:p w14:paraId="097B121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列入失信被执行人、重大税收违法案件当事人名单、政府采购严重违法失信行为记录名单的供应商，不得参加政府采购活动。</w:t>
            </w:r>
          </w:p>
        </w:tc>
        <w:tc>
          <w:tcPr>
            <w:tcW w:w="2438" w:type="dxa"/>
          </w:tcPr>
          <w:p w14:paraId="63C338A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bl>
    <w:p w14:paraId="5398D69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2、我方对上述声明的真实性、合法性、准确性、有效性负责，并愿意根据谈判文件和谈判过程中贵方要求提供全部现有资料、数据、文件等予以证实。</w:t>
      </w:r>
    </w:p>
    <w:p w14:paraId="4F9B51C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备注：对于接受联合体形式的谈判且供应商是联合体的，则联合体各成员都应当提交本资格证明文件。</w:t>
      </w:r>
    </w:p>
    <w:p w14:paraId="5BE2CBF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(签字)</w:t>
      </w:r>
    </w:p>
    <w:p w14:paraId="5DB0C5E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（全称并加盖公章）</w:t>
      </w:r>
    </w:p>
    <w:p w14:paraId="02FF3AF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2BB798B">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附件3-</w:t>
      </w:r>
      <w:r>
        <w:rPr>
          <w:rFonts w:hint="eastAsia" w:ascii="宋体" w:hAnsi="宋体" w:eastAsia="宋体" w:cs="宋体"/>
          <w:b/>
          <w:color w:val="auto"/>
          <w:sz w:val="24"/>
          <w:szCs w:val="24"/>
          <w:highlight w:val="none"/>
          <w:lang w:val="en-US" w:eastAsia="zh-CN"/>
        </w:rPr>
        <w:t>3</w:t>
      </w:r>
      <w:r>
        <w:rPr>
          <w:rFonts w:ascii="宋体" w:hAnsi="宋体" w:eastAsia="宋体" w:cs="宋体"/>
          <w:b/>
          <w:color w:val="auto"/>
          <w:sz w:val="24"/>
          <w:szCs w:val="24"/>
          <w:highlight w:val="none"/>
        </w:rPr>
        <w:t xml:space="preserve"> 单位负责人授权书</w:t>
      </w:r>
    </w:p>
    <w:p w14:paraId="772BEF1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370AC2C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我方的单位负责人</w:t>
      </w:r>
      <w:r>
        <w:rPr>
          <w:rFonts w:ascii="宋体" w:hAnsi="宋体" w:eastAsia="宋体" w:cs="宋体"/>
          <w:color w:val="auto"/>
          <w:sz w:val="24"/>
          <w:szCs w:val="24"/>
          <w:highlight w:val="none"/>
          <w:u w:val="single"/>
        </w:rPr>
        <w:t xml:space="preserve">    （填写“单位负责人全名”）</w:t>
      </w:r>
      <w:r>
        <w:rPr>
          <w:rFonts w:ascii="宋体" w:hAnsi="宋体" w:eastAsia="宋体" w:cs="宋体"/>
          <w:color w:val="auto"/>
          <w:sz w:val="24"/>
          <w:szCs w:val="24"/>
          <w:highlight w:val="none"/>
        </w:rPr>
        <w:t>授权</w:t>
      </w:r>
      <w:r>
        <w:rPr>
          <w:rFonts w:ascii="宋体" w:hAnsi="宋体" w:eastAsia="宋体" w:cs="宋体"/>
          <w:color w:val="auto"/>
          <w:sz w:val="24"/>
          <w:szCs w:val="24"/>
          <w:highlight w:val="none"/>
          <w:u w:val="single"/>
        </w:rPr>
        <w:t xml:space="preserve">    （填写“供应商代表全名”）</w:t>
      </w:r>
      <w:r>
        <w:rPr>
          <w:rFonts w:ascii="宋体" w:hAnsi="宋体" w:eastAsia="宋体" w:cs="宋体"/>
          <w:color w:val="auto"/>
          <w:sz w:val="24"/>
          <w:szCs w:val="24"/>
          <w:highlight w:val="none"/>
        </w:rPr>
        <w:t>为我方的供应商代表，代表我方参加</w:t>
      </w:r>
      <w:r>
        <w:rPr>
          <w:rFonts w:ascii="宋体" w:hAnsi="宋体" w:eastAsia="宋体" w:cs="宋体"/>
          <w:color w:val="auto"/>
          <w:sz w:val="24"/>
          <w:szCs w:val="24"/>
          <w:highlight w:val="none"/>
          <w:u w:val="single"/>
        </w:rPr>
        <w:t xml:space="preserve">    （填写“项目名称”）</w:t>
      </w:r>
      <w:r>
        <w:rPr>
          <w:rFonts w:ascii="宋体" w:hAnsi="宋体" w:eastAsia="宋体" w:cs="宋体"/>
          <w:color w:val="auto"/>
          <w:sz w:val="24"/>
          <w:szCs w:val="24"/>
          <w:highlight w:val="none"/>
        </w:rPr>
        <w:t>项目</w:t>
      </w:r>
      <w:r>
        <w:rPr>
          <w:rFonts w:ascii="宋体" w:hAnsi="宋体" w:eastAsia="宋体" w:cs="宋体"/>
          <w:color w:val="auto"/>
          <w:sz w:val="24"/>
          <w:szCs w:val="24"/>
          <w:highlight w:val="none"/>
          <w:u w:val="single"/>
        </w:rPr>
        <w:t>（项目编号：          ）</w:t>
      </w:r>
      <w:r>
        <w:rPr>
          <w:rFonts w:ascii="宋体" w:hAnsi="宋体" w:eastAsia="宋体" w:cs="宋体"/>
          <w:color w:val="auto"/>
          <w:sz w:val="24"/>
          <w:szCs w:val="24"/>
          <w:highlight w:val="none"/>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14:paraId="0B820A0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供应商代表无转委权。特此授权。</w:t>
      </w:r>
    </w:p>
    <w:p w14:paraId="1196FC80">
      <w:pPr>
        <w:pStyle w:val="31"/>
        <w:widowControl w:val="0"/>
        <w:spacing w:line="440" w:lineRule="exact"/>
        <w:jc w:val="center"/>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（以下无正文）</w:t>
      </w:r>
    </w:p>
    <w:p w14:paraId="6E8F6FFF">
      <w:pPr>
        <w:pStyle w:val="31"/>
        <w:widowControl w:val="0"/>
        <w:spacing w:line="440" w:lineRule="exact"/>
        <w:jc w:val="center"/>
        <w:rPr>
          <w:rFonts w:hint="default" w:ascii="宋体" w:hAnsi="宋体" w:eastAsia="宋体" w:cs="宋体"/>
          <w:color w:val="auto"/>
          <w:sz w:val="24"/>
          <w:szCs w:val="24"/>
          <w:highlight w:val="none"/>
          <w:lang w:eastAsia="zh-CN"/>
        </w:rPr>
      </w:pPr>
    </w:p>
    <w:p w14:paraId="68D1EE8D">
      <w:pPr>
        <w:pStyle w:val="31"/>
        <w:widowControl w:val="0"/>
        <w:spacing w:line="440" w:lineRule="exact"/>
        <w:jc w:val="center"/>
        <w:rPr>
          <w:rFonts w:hint="default" w:ascii="宋体" w:hAnsi="宋体" w:eastAsia="宋体" w:cs="宋体"/>
          <w:color w:val="auto"/>
          <w:sz w:val="24"/>
          <w:szCs w:val="24"/>
          <w:highlight w:val="none"/>
          <w:lang w:eastAsia="zh-CN"/>
        </w:rPr>
      </w:pPr>
    </w:p>
    <w:p w14:paraId="2D9C481D">
      <w:pPr>
        <w:pStyle w:val="31"/>
        <w:widowControl w:val="0"/>
        <w:spacing w:line="440" w:lineRule="exact"/>
        <w:jc w:val="center"/>
        <w:rPr>
          <w:rFonts w:hint="default" w:ascii="宋体" w:hAnsi="宋体" w:eastAsia="宋体" w:cs="宋体"/>
          <w:color w:val="auto"/>
          <w:sz w:val="24"/>
          <w:szCs w:val="24"/>
          <w:highlight w:val="none"/>
          <w:lang w:eastAsia="zh-CN"/>
        </w:rPr>
      </w:pPr>
    </w:p>
    <w:p w14:paraId="421558D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p>
    <w:p w14:paraId="4366591D">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p>
    <w:p w14:paraId="070378B5">
      <w:pPr>
        <w:pStyle w:val="31"/>
        <w:widowControl w:val="0"/>
        <w:spacing w:line="440" w:lineRule="exact"/>
        <w:ind w:firstLine="480"/>
        <w:rPr>
          <w:rFonts w:hint="default" w:ascii="宋体" w:hAnsi="宋体" w:eastAsia="宋体" w:cs="宋体"/>
          <w:color w:val="auto"/>
          <w:sz w:val="24"/>
          <w:szCs w:val="24"/>
          <w:highlight w:val="none"/>
          <w:lang w:eastAsia="zh-CN"/>
        </w:rPr>
      </w:pPr>
    </w:p>
    <w:p w14:paraId="0BDB5320">
      <w:pPr>
        <w:pStyle w:val="31"/>
        <w:widowControl w:val="0"/>
        <w:spacing w:line="440" w:lineRule="exact"/>
        <w:ind w:firstLine="480"/>
        <w:rPr>
          <w:rFonts w:hint="default" w:ascii="宋体" w:hAnsi="宋体" w:eastAsia="宋体" w:cs="宋体"/>
          <w:color w:val="auto"/>
          <w:sz w:val="24"/>
          <w:szCs w:val="24"/>
          <w:highlight w:val="none"/>
          <w:lang w:eastAsia="zh-CN"/>
        </w:rPr>
      </w:pPr>
    </w:p>
    <w:p w14:paraId="339C6A0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授权方</w:t>
      </w:r>
    </w:p>
    <w:p w14:paraId="0B40E41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 xml:space="preserve">      （全称并加盖单位公章）</w:t>
      </w:r>
    </w:p>
    <w:p w14:paraId="71C87D9D">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单位负责人签字或盖章：</w:t>
      </w:r>
      <w:r>
        <w:rPr>
          <w:rFonts w:ascii="宋体" w:hAnsi="宋体" w:eastAsia="宋体" w:cs="宋体"/>
          <w:color w:val="auto"/>
          <w:sz w:val="24"/>
          <w:szCs w:val="24"/>
          <w:highlight w:val="none"/>
          <w:u w:val="single"/>
        </w:rPr>
        <w:t xml:space="preserve">               </w:t>
      </w:r>
    </w:p>
    <w:p w14:paraId="58297A14">
      <w:pPr>
        <w:pStyle w:val="31"/>
        <w:widowControl w:val="0"/>
        <w:spacing w:line="440" w:lineRule="exact"/>
        <w:ind w:firstLine="480"/>
        <w:rPr>
          <w:rFonts w:hint="default" w:ascii="宋体" w:hAnsi="宋体" w:eastAsia="宋体" w:cs="宋体"/>
          <w:color w:val="auto"/>
          <w:sz w:val="24"/>
          <w:szCs w:val="24"/>
          <w:highlight w:val="none"/>
          <w:lang w:eastAsia="zh-CN"/>
        </w:rPr>
      </w:pPr>
    </w:p>
    <w:p w14:paraId="3CA0CD00">
      <w:pPr>
        <w:pStyle w:val="31"/>
        <w:widowControl w:val="0"/>
        <w:spacing w:line="440" w:lineRule="exact"/>
        <w:ind w:firstLine="480"/>
        <w:rPr>
          <w:rFonts w:hint="default" w:ascii="宋体" w:hAnsi="宋体" w:eastAsia="宋体" w:cs="宋体"/>
          <w:color w:val="auto"/>
          <w:sz w:val="24"/>
          <w:szCs w:val="24"/>
          <w:highlight w:val="none"/>
          <w:lang w:eastAsia="zh-CN"/>
        </w:rPr>
      </w:pPr>
    </w:p>
    <w:p w14:paraId="2556BAE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接受授权方</w:t>
      </w:r>
    </w:p>
    <w:p w14:paraId="5A335A3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14:paraId="4ECA7E06">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签署日期：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275E98C9">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附：单位负责人、供应商代表的身份证正反面复印件</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B20D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8D5A02">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要求：真实、有效、清晰</w:t>
            </w:r>
          </w:p>
        </w:tc>
      </w:tr>
    </w:tbl>
    <w:p w14:paraId="602F2C1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720102C7">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14:paraId="15B1249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14:paraId="653CB53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负责响应文件签字的供应商代表如果不是上述规定的单位负责人，则供应商应当在响应文件中提供本授权书，响应文件正本中的本授权书应为原件。供应商为自然人的，可不填写本授权书，但应当提供其身份证正反面复印件。</w:t>
      </w:r>
    </w:p>
    <w:p w14:paraId="44D816E5">
      <w:pPr>
        <w:pStyle w:val="31"/>
        <w:widowControl w:val="0"/>
        <w:spacing w:line="440" w:lineRule="exact"/>
        <w:rPr>
          <w:rFonts w:hint="default" w:ascii="宋体" w:hAnsi="宋体" w:eastAsia="宋体" w:cs="宋体"/>
          <w:b/>
          <w:color w:val="auto"/>
          <w:sz w:val="24"/>
          <w:szCs w:val="24"/>
          <w:highlight w:val="none"/>
        </w:rPr>
      </w:pPr>
      <w:r>
        <w:rPr>
          <w:rFonts w:ascii="宋体" w:hAnsi="宋体" w:eastAsia="宋体" w:cs="宋体"/>
          <w:color w:val="auto"/>
          <w:sz w:val="24"/>
          <w:szCs w:val="24"/>
          <w:highlight w:val="none"/>
        </w:rPr>
        <w:t>4、对于接受联合体形式的谈判且供应商是联合体的，则只需要联合体的牵头方提交本授权书，在响应文件正本中的本授权书应为原件。</w:t>
      </w:r>
    </w:p>
    <w:p w14:paraId="425C866B">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1B4C4A72">
      <w:pPr>
        <w:pStyle w:val="31"/>
        <w:widowControl w:val="0"/>
        <w:spacing w:line="440" w:lineRule="exact"/>
        <w:jc w:val="center"/>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附件3-</w:t>
      </w:r>
      <w:r>
        <w:rPr>
          <w:rFonts w:hint="eastAsia" w:ascii="宋体" w:hAnsi="宋体" w:eastAsia="宋体" w:cs="宋体"/>
          <w:b/>
          <w:color w:val="auto"/>
          <w:sz w:val="24"/>
          <w:szCs w:val="24"/>
          <w:highlight w:val="none"/>
          <w:lang w:val="en-US" w:eastAsia="zh-CN"/>
        </w:rPr>
        <w:t xml:space="preserve">4 </w:t>
      </w:r>
      <w:r>
        <w:rPr>
          <w:rFonts w:ascii="宋体" w:hAnsi="宋体" w:eastAsia="宋体" w:cs="宋体"/>
          <w:b/>
          <w:color w:val="auto"/>
          <w:sz w:val="24"/>
          <w:szCs w:val="24"/>
          <w:highlight w:val="none"/>
        </w:rPr>
        <w:t>证明材料</w:t>
      </w:r>
    </w:p>
    <w:p w14:paraId="1356E07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根据采购文件须知前附表1第1项号的“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4BBDB658">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附件3-4-1 福建省政府采购供应商资格承诺函</w:t>
      </w:r>
    </w:p>
    <w:p w14:paraId="00658DAB">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5C41FBBD">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单位名称(自然人姓名):</w:t>
      </w:r>
    </w:p>
    <w:p w14:paraId="206841D6">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统一社会信用代码(自然人身份证号码):</w:t>
      </w:r>
    </w:p>
    <w:p w14:paraId="551EAFE9">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w:t>
      </w:r>
    </w:p>
    <w:p w14:paraId="31C6A0A8">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联系地址和电话:</w:t>
      </w:r>
    </w:p>
    <w:p w14:paraId="26A3069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我单位(本人)自愿参加本次政府采购活动，严格遵守《中华人民共和国政府采购法》及相关法律法规，坚守公开、公平公正和诚实信用等原则，依法诚信经营，并郑重承诺:</w:t>
      </w:r>
    </w:p>
    <w:p w14:paraId="169B4B0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一、我单位(本人)具备采购文件要求以及《中华人民共和国政府采购法》第二十二条规定的条件</w:t>
      </w:r>
      <w:r>
        <w:rPr>
          <w:rFonts w:hint="eastAsia" w:ascii="宋体" w:hAnsi="宋体" w:eastAsia="宋体" w:cs="宋体"/>
          <w:color w:val="auto"/>
          <w:sz w:val="24"/>
          <w:szCs w:val="24"/>
          <w:highlight w:val="none"/>
          <w:lang w:eastAsia="zh-CN"/>
        </w:rPr>
        <w:t>：</w:t>
      </w:r>
    </w:p>
    <w:p w14:paraId="3DDA8D9B">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4373A9F1">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774B2CAB">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371A3863">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414E3685">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70C8B31E">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14:paraId="6D84314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1B7AFB0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3EEA132">
      <w:pPr>
        <w:pStyle w:val="31"/>
        <w:keepNext w:val="0"/>
        <w:keepLines w:val="0"/>
        <w:pageBreakBefore w:val="0"/>
        <w:widowControl w:val="0"/>
        <w:kinsoku/>
        <w:wordWrap/>
        <w:overflowPunct/>
        <w:topLinePunct w:val="0"/>
        <w:autoSpaceDE/>
        <w:autoSpaceDN/>
        <w:bidi w:val="0"/>
        <w:adjustRightInd/>
        <w:snapToGrid/>
        <w:spacing w:line="44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名称(单位公章)</w:t>
      </w:r>
    </w:p>
    <w:p w14:paraId="49CCA681">
      <w:pPr>
        <w:pStyle w:val="31"/>
        <w:keepNext w:val="0"/>
        <w:keepLines w:val="0"/>
        <w:pageBreakBefore w:val="0"/>
        <w:widowControl w:val="0"/>
        <w:kinsoku/>
        <w:wordWrap/>
        <w:overflowPunct/>
        <w:topLinePunct w:val="0"/>
        <w:autoSpaceDE/>
        <w:autoSpaceDN/>
        <w:bidi w:val="0"/>
        <w:adjustRightInd/>
        <w:snapToGrid/>
        <w:spacing w:line="44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5840CFFA">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831BAC0">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1.我单位(本人)专指参加政府采购活动的供应商(含自然人)；</w:t>
      </w:r>
    </w:p>
    <w:p w14:paraId="1AA2EABA">
      <w:pPr>
        <w:pStyle w:val="31"/>
        <w:keepNext w:val="0"/>
        <w:keepLines w:val="0"/>
        <w:pageBreakBefore w:val="0"/>
        <w:widowControl w:val="0"/>
        <w:kinsoku/>
        <w:wordWrap/>
        <w:overflowPunct/>
        <w:topLinePunct w:val="0"/>
        <w:autoSpaceDE/>
        <w:autoSpaceDN/>
        <w:bidi w:val="0"/>
        <w:adjustRightInd/>
        <w:snapToGrid/>
        <w:spacing w:line="440" w:lineRule="exact"/>
        <w:ind w:firstLine="96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2.资格承诺的供应商应在投标(响应)文件中按此模板提供承诺函，否则，视为未按照招标文件规定提交投标人的资格及资信文件，按资格审查不通过处理。</w:t>
      </w:r>
    </w:p>
    <w:p w14:paraId="2687769B">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7B793C3C">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附件3-4-2 资格证明材料</w:t>
      </w:r>
    </w:p>
    <w:p w14:paraId="26D405FA">
      <w:pPr>
        <w:pStyle w:val="31"/>
        <w:widowControl w:val="0"/>
        <w:spacing w:line="44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营业执照等证明文件</w:t>
      </w:r>
    </w:p>
    <w:p w14:paraId="6DECE06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12AEC14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（）供应商为法人（包括企业、事业单位和社会团体）的</w:t>
      </w:r>
    </w:p>
    <w:p w14:paraId="1A706B6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（请填写法人的具体证照名称）</w:t>
      </w:r>
      <w:r>
        <w:rPr>
          <w:rFonts w:ascii="宋体" w:hAnsi="宋体" w:eastAsia="宋体" w:cs="宋体"/>
          <w:color w:val="auto"/>
          <w:sz w:val="24"/>
          <w:szCs w:val="24"/>
          <w:highlight w:val="none"/>
        </w:rPr>
        <w:t>复印件，该证明材料真实有效，否则我方负全部责任。</w:t>
      </w:r>
    </w:p>
    <w:p w14:paraId="62C8C08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（）供应商为非法人（包括其他组织、自然人）的</w:t>
      </w:r>
    </w:p>
    <w:p w14:paraId="1A08D65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（请填写非自然人的非法人的具体证照名称）</w:t>
      </w:r>
      <w:r>
        <w:rPr>
          <w:rFonts w:ascii="宋体" w:hAnsi="宋体" w:eastAsia="宋体" w:cs="宋体"/>
          <w:color w:val="auto"/>
          <w:sz w:val="24"/>
          <w:szCs w:val="24"/>
          <w:highlight w:val="none"/>
        </w:rPr>
        <w:t>复印件，该证明材料真实有效，否则我方负全部责任。</w:t>
      </w:r>
    </w:p>
    <w:p w14:paraId="420AE604">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（请填写自然人的身份证件名称）</w:t>
      </w:r>
      <w:r>
        <w:rPr>
          <w:rFonts w:ascii="宋体" w:hAnsi="宋体" w:eastAsia="宋体" w:cs="宋体"/>
          <w:color w:val="auto"/>
          <w:sz w:val="24"/>
          <w:szCs w:val="24"/>
          <w:highlight w:val="none"/>
        </w:rPr>
        <w:t>复印件，该证明材料真实有效，否则我方负全部责任。</w:t>
      </w:r>
    </w:p>
    <w:p w14:paraId="6A65A6CE">
      <w:pPr>
        <w:pStyle w:val="31"/>
        <w:widowControl w:val="0"/>
        <w:spacing w:line="440" w:lineRule="exact"/>
        <w:ind w:firstLine="480"/>
        <w:rPr>
          <w:rFonts w:hint="default" w:ascii="宋体" w:hAnsi="宋体" w:eastAsia="宋体" w:cs="宋体"/>
          <w:color w:val="auto"/>
          <w:sz w:val="24"/>
          <w:szCs w:val="24"/>
          <w:highlight w:val="none"/>
          <w:lang w:eastAsia="zh-CN"/>
        </w:rPr>
      </w:pPr>
    </w:p>
    <w:p w14:paraId="0BAB5415">
      <w:pPr>
        <w:pStyle w:val="31"/>
        <w:widowControl w:val="0"/>
        <w:spacing w:line="440" w:lineRule="exact"/>
        <w:ind w:firstLine="480"/>
        <w:rPr>
          <w:rFonts w:hint="default" w:ascii="宋体" w:hAnsi="宋体" w:eastAsia="宋体" w:cs="宋体"/>
          <w:color w:val="auto"/>
          <w:sz w:val="24"/>
          <w:szCs w:val="24"/>
          <w:highlight w:val="none"/>
          <w:lang w:eastAsia="zh-CN"/>
        </w:rPr>
      </w:pPr>
    </w:p>
    <w:p w14:paraId="51037DB6">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5B2CD9E6">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1、请供应商根据实际情况填写，在相应的（）中打“√”并选择相应的“□”（若有）后，再按照本格式的要求提供相应证明材料的复印件。</w:t>
      </w:r>
    </w:p>
    <w:p w14:paraId="76D2F9E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154FD680">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3、对于接受联合体形式的谈判且供应商是联合体的，则联合体各成员都应当提交本资格证明文件。</w:t>
      </w:r>
    </w:p>
    <w:p w14:paraId="1C2BBE29">
      <w:pPr>
        <w:pStyle w:val="31"/>
        <w:widowControl w:val="0"/>
        <w:spacing w:line="440" w:lineRule="exact"/>
        <w:ind w:firstLine="480"/>
        <w:rPr>
          <w:rFonts w:hint="default" w:ascii="宋体" w:hAnsi="宋体" w:eastAsia="宋体" w:cs="宋体"/>
          <w:color w:val="auto"/>
          <w:sz w:val="24"/>
          <w:szCs w:val="24"/>
          <w:highlight w:val="none"/>
          <w:lang w:eastAsia="zh-CN"/>
        </w:rPr>
      </w:pPr>
    </w:p>
    <w:p w14:paraId="78A50437">
      <w:pPr>
        <w:pStyle w:val="31"/>
        <w:widowControl w:val="0"/>
        <w:spacing w:line="440" w:lineRule="exact"/>
        <w:ind w:firstLine="480"/>
        <w:rPr>
          <w:rFonts w:hint="default" w:ascii="宋体" w:hAnsi="宋体" w:eastAsia="宋体" w:cs="宋体"/>
          <w:color w:val="auto"/>
          <w:sz w:val="24"/>
          <w:szCs w:val="24"/>
          <w:highlight w:val="none"/>
          <w:lang w:eastAsia="zh-CN"/>
        </w:rPr>
      </w:pPr>
    </w:p>
    <w:p w14:paraId="68CA5A0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0856C35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64CA6ED2">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78F0A70B">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5DB02C3B">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财务状况报告</w:t>
      </w:r>
    </w:p>
    <w:p w14:paraId="1B2E0A1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765D5FD6">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（）供应商提供财务报告的</w:t>
      </w:r>
    </w:p>
    <w:p w14:paraId="2F61FDE9">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□企业适用：现附上我方</w:t>
      </w:r>
      <w:r>
        <w:rPr>
          <w:rFonts w:ascii="宋体" w:hAnsi="宋体" w:eastAsia="宋体" w:cs="宋体"/>
          <w:color w:val="auto"/>
          <w:sz w:val="24"/>
          <w:szCs w:val="24"/>
          <w:highlight w:val="none"/>
          <w:u w:val="single"/>
        </w:rPr>
        <w:t>（填写“具体的年度</w:t>
      </w:r>
      <w:r>
        <w:rPr>
          <w:rFonts w:ascii="宋体" w:hAnsi="宋体" w:eastAsia="宋体" w:cs="宋体"/>
          <w:color w:val="auto"/>
          <w:sz w:val="24"/>
          <w:szCs w:val="24"/>
          <w:highlight w:val="none"/>
          <w:u w:val="single"/>
          <w:lang w:eastAsia="zh-CN"/>
        </w:rPr>
        <w:t>或</w:t>
      </w:r>
      <w:r>
        <w:rPr>
          <w:rFonts w:ascii="宋体" w:hAnsi="宋体" w:eastAsia="宋体" w:cs="宋体"/>
          <w:color w:val="auto"/>
          <w:sz w:val="24"/>
          <w:szCs w:val="24"/>
          <w:highlight w:val="none"/>
          <w:u w:val="single"/>
        </w:rPr>
        <w:t>半年度</w:t>
      </w:r>
      <w:r>
        <w:rPr>
          <w:rFonts w:ascii="宋体" w:hAnsi="宋体" w:eastAsia="宋体" w:cs="宋体"/>
          <w:color w:val="auto"/>
          <w:sz w:val="24"/>
          <w:szCs w:val="24"/>
          <w:highlight w:val="none"/>
          <w:u w:val="single"/>
          <w:lang w:eastAsia="zh-CN"/>
        </w:rPr>
        <w:t>或</w:t>
      </w:r>
      <w:r>
        <w:rPr>
          <w:rFonts w:ascii="宋体" w:hAnsi="宋体" w:eastAsia="宋体" w:cs="宋体"/>
          <w:color w:val="auto"/>
          <w:sz w:val="24"/>
          <w:szCs w:val="24"/>
          <w:highlight w:val="none"/>
          <w:u w:val="single"/>
        </w:rPr>
        <w:t>季度”）</w:t>
      </w:r>
      <w:r>
        <w:rPr>
          <w:rFonts w:ascii="宋体" w:hAnsi="宋体" w:eastAsia="宋体" w:cs="宋体"/>
          <w:color w:val="auto"/>
          <w:sz w:val="24"/>
          <w:szCs w:val="24"/>
          <w:highlight w:val="none"/>
        </w:rPr>
        <w:t>财务报告复印件，包括资产负债表、利润表、现金流量表、所有者权益变动表及其附注（若有）、会计师事务所营业执照和注册会计师资格证书，上述证明材料真实有效，否则我方负全部责任。</w:t>
      </w:r>
    </w:p>
    <w:p w14:paraId="1AD1EB67">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color w:val="auto"/>
          <w:sz w:val="24"/>
          <w:szCs w:val="24"/>
          <w:highlight w:val="none"/>
        </w:rPr>
        <w:t>□</w:t>
      </w:r>
      <w:r>
        <w:rPr>
          <w:rFonts w:ascii="宋体" w:hAnsi="宋体" w:eastAsia="宋体" w:cs="宋体"/>
          <w:b/>
          <w:color w:val="auto"/>
          <w:sz w:val="24"/>
          <w:szCs w:val="24"/>
          <w:highlight w:val="none"/>
        </w:rPr>
        <w:t>事业单位适用：现附上我方</w:t>
      </w:r>
      <w:r>
        <w:rPr>
          <w:rFonts w:ascii="宋体" w:hAnsi="宋体" w:eastAsia="宋体" w:cs="宋体"/>
          <w:b/>
          <w:color w:val="auto"/>
          <w:sz w:val="24"/>
          <w:szCs w:val="24"/>
          <w:highlight w:val="none"/>
          <w:u w:val="single"/>
        </w:rPr>
        <w:t>（填写“具体的年度</w:t>
      </w:r>
      <w:r>
        <w:rPr>
          <w:rFonts w:ascii="宋体" w:hAnsi="宋体" w:eastAsia="宋体" w:cs="宋体"/>
          <w:b/>
          <w:color w:val="auto"/>
          <w:sz w:val="24"/>
          <w:szCs w:val="24"/>
          <w:highlight w:val="none"/>
          <w:u w:val="single"/>
          <w:lang w:eastAsia="zh-CN"/>
        </w:rPr>
        <w:t>或</w:t>
      </w:r>
      <w:r>
        <w:rPr>
          <w:rFonts w:ascii="宋体" w:hAnsi="宋体" w:eastAsia="宋体" w:cs="宋体"/>
          <w:b/>
          <w:color w:val="auto"/>
          <w:sz w:val="24"/>
          <w:szCs w:val="24"/>
          <w:highlight w:val="none"/>
          <w:u w:val="single"/>
        </w:rPr>
        <w:t>半年度</w:t>
      </w:r>
      <w:r>
        <w:rPr>
          <w:rFonts w:ascii="宋体" w:hAnsi="宋体" w:eastAsia="宋体" w:cs="宋体"/>
          <w:b/>
          <w:color w:val="auto"/>
          <w:sz w:val="24"/>
          <w:szCs w:val="24"/>
          <w:highlight w:val="none"/>
          <w:u w:val="single"/>
          <w:lang w:eastAsia="zh-CN"/>
        </w:rPr>
        <w:t>或</w:t>
      </w:r>
      <w:r>
        <w:rPr>
          <w:rFonts w:ascii="宋体" w:hAnsi="宋体" w:eastAsia="宋体" w:cs="宋体"/>
          <w:b/>
          <w:color w:val="auto"/>
          <w:sz w:val="24"/>
          <w:szCs w:val="24"/>
          <w:highlight w:val="none"/>
          <w:u w:val="single"/>
        </w:rPr>
        <w:t>季度”）</w:t>
      </w:r>
      <w:r>
        <w:rPr>
          <w:rFonts w:ascii="宋体" w:hAnsi="宋体" w:eastAsia="宋体" w:cs="宋体"/>
          <w:b/>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3F61FDF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□社会团体、民办非企单位适用：现附上我方</w:t>
      </w:r>
      <w:r>
        <w:rPr>
          <w:rFonts w:ascii="宋体" w:hAnsi="宋体" w:eastAsia="宋体" w:cs="宋体"/>
          <w:color w:val="auto"/>
          <w:sz w:val="24"/>
          <w:szCs w:val="24"/>
          <w:highlight w:val="none"/>
          <w:u w:val="single"/>
        </w:rPr>
        <w:t>（填写“具体的年度</w:t>
      </w:r>
      <w:r>
        <w:rPr>
          <w:rFonts w:ascii="宋体" w:hAnsi="宋体" w:eastAsia="宋体" w:cs="宋体"/>
          <w:color w:val="auto"/>
          <w:sz w:val="24"/>
          <w:szCs w:val="24"/>
          <w:highlight w:val="none"/>
          <w:u w:val="single"/>
          <w:lang w:eastAsia="zh-CN"/>
        </w:rPr>
        <w:t>或</w:t>
      </w:r>
      <w:r>
        <w:rPr>
          <w:rFonts w:ascii="宋体" w:hAnsi="宋体" w:eastAsia="宋体" w:cs="宋体"/>
          <w:color w:val="auto"/>
          <w:sz w:val="24"/>
          <w:szCs w:val="24"/>
          <w:highlight w:val="none"/>
          <w:u w:val="single"/>
        </w:rPr>
        <w:t>半年度</w:t>
      </w:r>
      <w:r>
        <w:rPr>
          <w:rFonts w:ascii="宋体" w:hAnsi="宋体" w:eastAsia="宋体" w:cs="宋体"/>
          <w:color w:val="auto"/>
          <w:sz w:val="24"/>
          <w:szCs w:val="24"/>
          <w:highlight w:val="none"/>
          <w:u w:val="single"/>
          <w:lang w:eastAsia="zh-CN"/>
        </w:rPr>
        <w:t>或</w:t>
      </w:r>
      <w:r>
        <w:rPr>
          <w:rFonts w:ascii="宋体" w:hAnsi="宋体" w:eastAsia="宋体" w:cs="宋体"/>
          <w:color w:val="auto"/>
          <w:sz w:val="24"/>
          <w:szCs w:val="24"/>
          <w:highlight w:val="none"/>
          <w:u w:val="single"/>
        </w:rPr>
        <w:t>季度”）</w:t>
      </w:r>
      <w:r>
        <w:rPr>
          <w:rFonts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14:paraId="7887820A">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（）供应商提供资信证明的</w:t>
      </w:r>
    </w:p>
    <w:p w14:paraId="59B128E4">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□非自然人适用（包括企业、事业单位、社会团体和其他组织）：现附上我方银行：</w:t>
      </w:r>
      <w:r>
        <w:rPr>
          <w:rFonts w:ascii="宋体" w:hAnsi="宋体" w:eastAsia="宋体" w:cs="宋体"/>
          <w:b/>
          <w:color w:val="auto"/>
          <w:sz w:val="24"/>
          <w:szCs w:val="24"/>
          <w:highlight w:val="none"/>
          <w:u w:val="single"/>
        </w:rPr>
        <w:t>（填写“开户银行全称”）</w:t>
      </w:r>
      <w:r>
        <w:rPr>
          <w:rFonts w:ascii="宋体" w:hAnsi="宋体" w:eastAsia="宋体" w:cs="宋体"/>
          <w:b/>
          <w:color w:val="auto"/>
          <w:sz w:val="24"/>
          <w:szCs w:val="24"/>
          <w:highlight w:val="none"/>
        </w:rPr>
        <w:t>出具的资信证明复印件，上述证明材料真实有效，否则我方负全部责任。</w:t>
      </w:r>
    </w:p>
    <w:p w14:paraId="4D99F2B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□自然人适用（包括企业、事业单位、社会团体和其他组织）：现附上我方银行：</w:t>
      </w:r>
      <w:r>
        <w:rPr>
          <w:rFonts w:ascii="宋体" w:hAnsi="宋体" w:eastAsia="宋体" w:cs="宋体"/>
          <w:color w:val="auto"/>
          <w:sz w:val="24"/>
          <w:szCs w:val="24"/>
          <w:highlight w:val="none"/>
          <w:u w:val="single"/>
        </w:rPr>
        <w:t>（填写自然人的“个人账户的开户银行全称”）</w:t>
      </w:r>
      <w:r>
        <w:rPr>
          <w:rFonts w:ascii="宋体" w:hAnsi="宋体" w:eastAsia="宋体" w:cs="宋体"/>
          <w:color w:val="auto"/>
          <w:sz w:val="24"/>
          <w:szCs w:val="24"/>
          <w:highlight w:val="none"/>
        </w:rPr>
        <w:t>出具的资信证明复印件，上述证明材料真实有效，否则我方负全部责任。</w:t>
      </w:r>
    </w:p>
    <w:p w14:paraId="65A256C5">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（）供应商提供投标担保函的</w:t>
      </w:r>
    </w:p>
    <w:p w14:paraId="1862EB0A">
      <w:pPr>
        <w:pStyle w:val="31"/>
        <w:widowControl w:val="0"/>
        <w:spacing w:line="440" w:lineRule="exact"/>
        <w:ind w:firstLine="480"/>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现附上由财政部门认可的政府采购专业担保机构：</w:t>
      </w:r>
      <w:r>
        <w:rPr>
          <w:rFonts w:ascii="宋体" w:hAnsi="宋体" w:eastAsia="宋体" w:cs="宋体"/>
          <w:b/>
          <w:color w:val="auto"/>
          <w:sz w:val="24"/>
          <w:szCs w:val="24"/>
          <w:highlight w:val="none"/>
          <w:u w:val="single"/>
        </w:rPr>
        <w:t>（填写“担保机构全称”）</w:t>
      </w:r>
      <w:r>
        <w:rPr>
          <w:rFonts w:ascii="宋体" w:hAnsi="宋体" w:eastAsia="宋体" w:cs="宋体"/>
          <w:b/>
          <w:color w:val="auto"/>
          <w:sz w:val="24"/>
          <w:szCs w:val="24"/>
          <w:highlight w:val="none"/>
        </w:rPr>
        <w:t>出具的投标担保函复印件，上述证明材料真实有效，否则我方负全部责任。</w:t>
      </w:r>
    </w:p>
    <w:p w14:paraId="166680FB">
      <w:pPr>
        <w:pStyle w:val="31"/>
        <w:widowControl w:val="0"/>
        <w:spacing w:line="440" w:lineRule="exact"/>
        <w:ind w:firstLine="480"/>
        <w:rPr>
          <w:rFonts w:hint="default" w:ascii="宋体" w:hAnsi="宋体" w:eastAsia="宋体" w:cs="宋体"/>
          <w:color w:val="auto"/>
          <w:sz w:val="24"/>
          <w:szCs w:val="24"/>
          <w:highlight w:val="none"/>
          <w:lang w:eastAsia="zh-CN"/>
        </w:rPr>
      </w:pPr>
    </w:p>
    <w:p w14:paraId="2382A46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※注意事项：</w:t>
      </w:r>
    </w:p>
    <w:p w14:paraId="308FFCB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14:paraId="20BBB79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2、供应商提供的财务报告复印件（成立年限按照首次响应文件递交截止时间推算）应符合下列规定：</w:t>
      </w:r>
    </w:p>
    <w:p w14:paraId="637276C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2.1成立年限满1年及以上的供应商，提供经审计的</w:t>
      </w:r>
      <w:r>
        <w:rPr>
          <w:rFonts w:ascii="宋体" w:hAnsi="宋体" w:eastAsia="宋体" w:cs="宋体"/>
          <w:b/>
          <w:color w:val="auto"/>
          <w:sz w:val="24"/>
          <w:szCs w:val="24"/>
          <w:highlight w:val="none"/>
        </w:rPr>
        <w:t>上一年度的年度财务报告</w:t>
      </w:r>
      <w:r>
        <w:rPr>
          <w:rFonts w:ascii="宋体" w:hAnsi="宋体" w:eastAsia="宋体" w:cs="宋体"/>
          <w:color w:val="auto"/>
          <w:sz w:val="24"/>
          <w:szCs w:val="24"/>
          <w:highlight w:val="none"/>
        </w:rPr>
        <w:t>。</w:t>
      </w:r>
    </w:p>
    <w:p w14:paraId="60550EC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2.2成立年限满半年但不足1年的供应商，提供该半年度中任一季度的季度财务报告或该半年度的半年度财务报告。</w:t>
      </w:r>
    </w:p>
    <w:p w14:paraId="03DA486B">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※无法按照本格式注意事项第2.1、2.2条规定提供财务报告复印件的供应商，应按照本格式注意事项的要求选择提供资信证明复印件或投标担保函复印件。</w:t>
      </w:r>
    </w:p>
    <w:p w14:paraId="75D8A81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3、“财政部门认可的政府采购专业担保机构”应符合《财政部关于开展政府采购信用担保试点工作方案》（财库[2011]124号）的规定。</w:t>
      </w:r>
    </w:p>
    <w:p w14:paraId="6D1C8B5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4、供应商提供的相应证明材料复印件均应符合：内容完整、清晰、整洁，并由供应商加盖其单位公章。</w:t>
      </w:r>
    </w:p>
    <w:p w14:paraId="4CE14963">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5、对于接受联合体形式的且供应商是联合体的，则联合体各成员都应当提交本资格证明文件。</w:t>
      </w:r>
    </w:p>
    <w:p w14:paraId="22349ED3">
      <w:pPr>
        <w:pStyle w:val="31"/>
        <w:widowControl w:val="0"/>
        <w:spacing w:line="440" w:lineRule="exact"/>
        <w:ind w:firstLine="480"/>
        <w:rPr>
          <w:rFonts w:hint="default" w:ascii="宋体" w:hAnsi="宋体" w:eastAsia="宋体" w:cs="宋体"/>
          <w:color w:val="auto"/>
          <w:sz w:val="24"/>
          <w:szCs w:val="24"/>
          <w:highlight w:val="none"/>
          <w:lang w:eastAsia="zh-CN"/>
        </w:rPr>
      </w:pPr>
    </w:p>
    <w:p w14:paraId="5D9C4715">
      <w:pPr>
        <w:pStyle w:val="31"/>
        <w:widowControl w:val="0"/>
        <w:spacing w:line="440" w:lineRule="exact"/>
        <w:ind w:firstLine="480"/>
        <w:rPr>
          <w:rFonts w:hint="default" w:ascii="宋体" w:hAnsi="宋体" w:eastAsia="宋体" w:cs="宋体"/>
          <w:color w:val="auto"/>
          <w:sz w:val="24"/>
          <w:szCs w:val="24"/>
          <w:highlight w:val="none"/>
          <w:lang w:eastAsia="zh-CN"/>
        </w:rPr>
      </w:pPr>
    </w:p>
    <w:p w14:paraId="42DC13D8">
      <w:pPr>
        <w:pStyle w:val="31"/>
        <w:widowControl w:val="0"/>
        <w:spacing w:line="440" w:lineRule="exact"/>
        <w:ind w:firstLine="480"/>
        <w:rPr>
          <w:rFonts w:hint="default" w:ascii="宋体" w:hAnsi="宋体" w:eastAsia="宋体" w:cs="宋体"/>
          <w:color w:val="auto"/>
          <w:sz w:val="24"/>
          <w:szCs w:val="24"/>
          <w:highlight w:val="none"/>
          <w:lang w:eastAsia="zh-CN"/>
        </w:rPr>
      </w:pPr>
    </w:p>
    <w:p w14:paraId="090B7D99">
      <w:pPr>
        <w:pStyle w:val="31"/>
        <w:widowControl w:val="0"/>
        <w:spacing w:line="440" w:lineRule="exact"/>
        <w:ind w:firstLine="480"/>
        <w:rPr>
          <w:rFonts w:hint="default" w:ascii="宋体" w:hAnsi="宋体" w:eastAsia="宋体" w:cs="宋体"/>
          <w:color w:val="auto"/>
          <w:sz w:val="24"/>
          <w:szCs w:val="24"/>
          <w:highlight w:val="none"/>
          <w:lang w:eastAsia="zh-CN"/>
        </w:rPr>
      </w:pPr>
    </w:p>
    <w:p w14:paraId="5F7B990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57554E6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7326493C">
      <w:pPr>
        <w:pStyle w:val="31"/>
        <w:widowControl w:val="0"/>
        <w:spacing w:line="440" w:lineRule="exact"/>
        <w:ind w:firstLine="480"/>
        <w:rPr>
          <w:rFonts w:ascii="宋体" w:hAnsi="宋体" w:eastAsia="宋体" w:cs="宋体"/>
          <w:b/>
          <w:color w:val="auto"/>
          <w:sz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5A60CCEB">
      <w:pPr>
        <w:pStyle w:val="31"/>
        <w:widowControl w:val="0"/>
        <w:spacing w:line="440" w:lineRule="exact"/>
        <w:jc w:val="center"/>
        <w:outlineLvl w:val="2"/>
        <w:rPr>
          <w:rFonts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56113B03">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依法缴纳税收证明材料</w:t>
      </w:r>
    </w:p>
    <w:p w14:paraId="13952D3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4116E1BF">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1、依法缴纳税收的供应商</w:t>
      </w:r>
    </w:p>
    <w:p w14:paraId="4A6C8F28">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（）法人（包括企业、事业单位和社会团体）的</w:t>
      </w:r>
    </w:p>
    <w:p w14:paraId="6F73F75B">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现附上自</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年</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月</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日至</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年</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月</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14:paraId="2F21B62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14:paraId="1166A1E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14:paraId="4A9E05B6">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2、依法减免税收的供应商</w:t>
      </w:r>
    </w:p>
    <w:p w14:paraId="3D6692A1">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（）现附上我方依法免税证明材料复印件，上述证明材料真实有效，否则我方负全部责任。</w:t>
      </w:r>
    </w:p>
    <w:p w14:paraId="1D1FF1BE">
      <w:pPr>
        <w:pStyle w:val="31"/>
        <w:widowControl w:val="0"/>
        <w:spacing w:line="440" w:lineRule="exact"/>
        <w:ind w:firstLine="480"/>
        <w:rPr>
          <w:rFonts w:hint="default" w:ascii="宋体" w:hAnsi="宋体" w:eastAsia="宋体" w:cs="宋体"/>
          <w:color w:val="auto"/>
          <w:sz w:val="24"/>
          <w:szCs w:val="24"/>
          <w:highlight w:val="none"/>
          <w:lang w:eastAsia="zh-CN"/>
        </w:rPr>
      </w:pPr>
    </w:p>
    <w:p w14:paraId="3143DCC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45BB269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14:paraId="696086C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2、供应商提供的税收凭据复印件应符合下列规定：</w:t>
      </w:r>
    </w:p>
    <w:p w14:paraId="70A11E78">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2.1首次响应文件递交截止时间前（不含截止时间的当月）已依法缴纳税收的供应商，提供首次响应文件递交截止时间前六个月（不含截止时间的当月）中任一月份的税收凭据复印件。</w:t>
      </w:r>
    </w:p>
    <w:p w14:paraId="7348FFE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14:paraId="2D7E58EB">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2.3若为依法免税范围的供应商，提供依法免税证明材料的，视同满足本项资格条件要求。</w:t>
      </w:r>
    </w:p>
    <w:p w14:paraId="331D8487">
      <w:pPr>
        <w:pStyle w:val="31"/>
        <w:widowControl w:val="0"/>
        <w:spacing w:line="440" w:lineRule="exact"/>
        <w:ind w:firstLine="480"/>
        <w:rPr>
          <w:rFonts w:hint="default" w:ascii="宋体" w:hAnsi="宋体" w:eastAsia="宋体" w:cs="宋体"/>
          <w:color w:val="auto"/>
          <w:sz w:val="24"/>
          <w:szCs w:val="24"/>
          <w:highlight w:val="none"/>
          <w:lang w:eastAsia="zh-CN"/>
        </w:rPr>
      </w:pPr>
    </w:p>
    <w:p w14:paraId="311615CF">
      <w:pPr>
        <w:pStyle w:val="31"/>
        <w:widowControl w:val="0"/>
        <w:spacing w:line="440" w:lineRule="exact"/>
        <w:ind w:firstLine="480"/>
        <w:rPr>
          <w:rFonts w:hint="default" w:ascii="宋体" w:hAnsi="宋体" w:eastAsia="宋体" w:cs="宋体"/>
          <w:color w:val="auto"/>
          <w:sz w:val="24"/>
          <w:szCs w:val="24"/>
          <w:highlight w:val="none"/>
          <w:lang w:eastAsia="zh-CN"/>
        </w:rPr>
      </w:pPr>
    </w:p>
    <w:p w14:paraId="1632E3C8">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12F86534">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78FF7E5B">
      <w:pPr>
        <w:pStyle w:val="31"/>
        <w:widowControl w:val="0"/>
        <w:spacing w:line="440" w:lineRule="exact"/>
        <w:ind w:firstLine="480"/>
        <w:rPr>
          <w:rFonts w:hint="default" w:ascii="宋体" w:hAnsi="宋体" w:eastAsia="宋体" w:cs="宋体"/>
          <w:b/>
          <w:color w:val="auto"/>
          <w:sz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 xml:space="preserve">日 </w:t>
      </w:r>
      <w:r>
        <w:rPr>
          <w:rFonts w:ascii="宋体" w:hAnsi="宋体" w:eastAsia="宋体" w:cs="宋体"/>
          <w:b/>
          <w:color w:val="auto"/>
          <w:sz w:val="24"/>
          <w:highlight w:val="none"/>
        </w:rPr>
        <w:br w:type="page"/>
      </w:r>
    </w:p>
    <w:p w14:paraId="2042A2AF">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依法缴纳社会保障资金证明材料</w:t>
      </w:r>
    </w:p>
    <w:p w14:paraId="50F0E47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4A2428C4">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1、依法缴纳社会保障资金的供应商</w:t>
      </w:r>
    </w:p>
    <w:p w14:paraId="12985061">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（）法人（包括企业、事业单位和社会团体）的</w:t>
      </w:r>
    </w:p>
    <w:p w14:paraId="63066938">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现附上自</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年</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月</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日至</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年</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月</w:t>
      </w:r>
      <w:r>
        <w:rPr>
          <w:rFonts w:ascii="宋体" w:hAnsi="宋体" w:eastAsia="宋体" w:cs="宋体"/>
          <w:b/>
          <w:color w:val="auto"/>
          <w:sz w:val="24"/>
          <w:szCs w:val="24"/>
          <w:highlight w:val="none"/>
          <w:u w:val="single"/>
        </w:rPr>
        <w:t xml:space="preserve">    </w:t>
      </w:r>
      <w:r>
        <w:rPr>
          <w:rFonts w:ascii="宋体" w:hAnsi="宋体" w:eastAsia="宋体" w:cs="宋体"/>
          <w:b/>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7B87C968">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14:paraId="298AC620">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14:paraId="6209085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2、依法不需要缴纳或暂缓缴纳社会保障资金的供应商</w:t>
      </w:r>
    </w:p>
    <w:p w14:paraId="00277748">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（）现附上我方依法不需要缴纳社会保障资金证明材料复印件，上述证明材料真实有效，否则我方负全部责任。</w:t>
      </w:r>
    </w:p>
    <w:p w14:paraId="305D455D">
      <w:pPr>
        <w:pStyle w:val="31"/>
        <w:widowControl w:val="0"/>
        <w:spacing w:line="440" w:lineRule="exact"/>
        <w:ind w:firstLine="480"/>
        <w:rPr>
          <w:rFonts w:hint="default" w:ascii="宋体" w:hAnsi="宋体" w:eastAsia="宋体" w:cs="宋体"/>
          <w:color w:val="auto"/>
          <w:sz w:val="24"/>
          <w:szCs w:val="24"/>
          <w:highlight w:val="none"/>
          <w:lang w:eastAsia="zh-CN"/>
        </w:rPr>
      </w:pPr>
    </w:p>
    <w:p w14:paraId="26D02BC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29DCC55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14:paraId="780C55C2">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2、供应商提供的社会保险凭据复印件应符合下列规定：</w:t>
      </w:r>
    </w:p>
    <w:p w14:paraId="734C4F6B">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2.1首次响应文件递交截止时间前（不含截止时间的当月）已依法缴纳社会保障资金的投</w:t>
      </w:r>
      <w:r>
        <w:rPr>
          <w:rFonts w:ascii="宋体" w:hAnsi="宋体" w:eastAsia="宋体" w:cs="宋体"/>
          <w:b/>
          <w:color w:val="auto"/>
          <w:sz w:val="24"/>
          <w:szCs w:val="24"/>
          <w:highlight w:val="none"/>
          <w:lang w:eastAsia="zh-CN"/>
        </w:rPr>
        <w:t>标</w:t>
      </w:r>
      <w:r>
        <w:rPr>
          <w:rFonts w:ascii="宋体" w:hAnsi="宋体" w:eastAsia="宋体" w:cs="宋体"/>
          <w:b/>
          <w:color w:val="auto"/>
          <w:sz w:val="24"/>
          <w:szCs w:val="24"/>
          <w:highlight w:val="none"/>
        </w:rPr>
        <w:t>供应商，提供首次响应文件递交截止时间前六个月（不含截止时间的当月）中任一月份的社会保险凭据复印件。</w:t>
      </w:r>
    </w:p>
    <w:p w14:paraId="4A11B15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14:paraId="303C02B8">
      <w:pPr>
        <w:pStyle w:val="31"/>
        <w:widowControl w:val="0"/>
        <w:spacing w:line="440" w:lineRule="exact"/>
        <w:ind w:firstLine="480"/>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2.3若为依法不需要缴纳或暂缓缴纳社会保障资金的供应商，提供依法不需要缴纳或暂缓缴纳社会保障资金证明材料的，视同满足本项资格条件要求。</w:t>
      </w:r>
    </w:p>
    <w:p w14:paraId="0A0ADA7C">
      <w:pPr>
        <w:pStyle w:val="31"/>
        <w:widowControl w:val="0"/>
        <w:spacing w:line="440" w:lineRule="exact"/>
        <w:ind w:firstLine="480"/>
        <w:rPr>
          <w:rFonts w:hint="default" w:ascii="宋体" w:hAnsi="宋体" w:eastAsia="宋体" w:cs="宋体"/>
          <w:color w:val="auto"/>
          <w:sz w:val="24"/>
          <w:szCs w:val="24"/>
          <w:highlight w:val="none"/>
          <w:lang w:eastAsia="zh-CN"/>
        </w:rPr>
      </w:pPr>
    </w:p>
    <w:p w14:paraId="2750B11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6C57006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540D456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 xml:space="preserve">日 </w:t>
      </w:r>
    </w:p>
    <w:p w14:paraId="76D51EAA">
      <w:pPr>
        <w:spacing w:line="440" w:lineRule="exact"/>
        <w:rPr>
          <w:rFonts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66CE0DF2">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具备履行合同所必需设备和专业技术能力证明材料</w:t>
      </w:r>
    </w:p>
    <w:p w14:paraId="00994F83">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声明函</w:t>
      </w:r>
    </w:p>
    <w:p w14:paraId="7F6DAD0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040FBFA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我方具备履行合同所必需的设备和专业技术能力，并对本声明承诺的真实性负责，否则产生不利后果由我方承担责任。</w:t>
      </w:r>
    </w:p>
    <w:p w14:paraId="5D9897A6">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特此声明。</w:t>
      </w:r>
    </w:p>
    <w:p w14:paraId="6290544B">
      <w:pPr>
        <w:pStyle w:val="31"/>
        <w:widowControl w:val="0"/>
        <w:spacing w:line="440" w:lineRule="exact"/>
        <w:ind w:firstLine="480"/>
        <w:rPr>
          <w:rFonts w:hint="default" w:ascii="宋体" w:hAnsi="宋体" w:eastAsia="宋体" w:cs="宋体"/>
          <w:color w:val="auto"/>
          <w:sz w:val="24"/>
          <w:szCs w:val="24"/>
          <w:highlight w:val="none"/>
          <w:lang w:eastAsia="zh-CN"/>
        </w:rPr>
      </w:pPr>
    </w:p>
    <w:p w14:paraId="60A14C84">
      <w:pPr>
        <w:pStyle w:val="31"/>
        <w:widowControl w:val="0"/>
        <w:spacing w:line="440" w:lineRule="exact"/>
        <w:ind w:firstLine="480"/>
        <w:rPr>
          <w:rFonts w:hint="default" w:ascii="宋体" w:hAnsi="宋体" w:eastAsia="宋体" w:cs="宋体"/>
          <w:color w:val="auto"/>
          <w:sz w:val="24"/>
          <w:szCs w:val="24"/>
          <w:highlight w:val="none"/>
          <w:lang w:eastAsia="zh-CN"/>
        </w:rPr>
      </w:pPr>
    </w:p>
    <w:p w14:paraId="10BA2208">
      <w:pPr>
        <w:pStyle w:val="31"/>
        <w:widowControl w:val="0"/>
        <w:spacing w:line="440" w:lineRule="exact"/>
        <w:ind w:firstLine="482" w:firstLineChars="20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1.谈判文件“供应商的资格”中特定资格条件如果没有特别规定，则由供应商在响应文件中按上述格式提供其具备履行合同所必需的设备和专业技术能力的声明即可，声明函应加盖供应商单位公章。</w:t>
      </w:r>
    </w:p>
    <w:p w14:paraId="0A34F8AE">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14:paraId="5E79A030">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3.对于接受联合体形式的谈判且供应商是联合体的，则联合体各成员都应当提交本资格证明文件。</w:t>
      </w:r>
    </w:p>
    <w:p w14:paraId="5D33A7AE">
      <w:pPr>
        <w:pStyle w:val="31"/>
        <w:widowControl w:val="0"/>
        <w:spacing w:line="440" w:lineRule="exact"/>
        <w:ind w:firstLine="480"/>
        <w:rPr>
          <w:rFonts w:hint="default" w:ascii="宋体" w:hAnsi="宋体" w:eastAsia="宋体" w:cs="宋体"/>
          <w:color w:val="auto"/>
          <w:sz w:val="24"/>
          <w:szCs w:val="24"/>
          <w:highlight w:val="none"/>
          <w:lang w:eastAsia="zh-CN"/>
        </w:rPr>
      </w:pPr>
    </w:p>
    <w:p w14:paraId="66104ECE">
      <w:pPr>
        <w:pStyle w:val="31"/>
        <w:widowControl w:val="0"/>
        <w:spacing w:line="440" w:lineRule="exact"/>
        <w:ind w:firstLine="480"/>
        <w:rPr>
          <w:rFonts w:hint="default" w:ascii="宋体" w:hAnsi="宋体" w:eastAsia="宋体" w:cs="宋体"/>
          <w:color w:val="auto"/>
          <w:sz w:val="24"/>
          <w:szCs w:val="24"/>
          <w:highlight w:val="none"/>
          <w:lang w:eastAsia="zh-CN"/>
        </w:rPr>
      </w:pPr>
    </w:p>
    <w:p w14:paraId="00A0D69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5B7D3E2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5E9C053F">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61022DEE">
      <w:pPr>
        <w:pStyle w:val="31"/>
        <w:widowControl w:val="0"/>
        <w:spacing w:line="440" w:lineRule="exact"/>
        <w:rPr>
          <w:rFonts w:hint="default" w:ascii="宋体" w:hAnsi="宋体" w:eastAsia="宋体" w:cs="宋体"/>
          <w:color w:val="auto"/>
          <w:sz w:val="24"/>
          <w:szCs w:val="24"/>
          <w:highlight w:val="none"/>
        </w:rPr>
      </w:pPr>
    </w:p>
    <w:p w14:paraId="22E9DE0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14:paraId="084F4241">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558B55A4">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参加采购活动前三年内在经营活动中没有重大违法记录书面声明</w:t>
      </w:r>
    </w:p>
    <w:p w14:paraId="70261CA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lang w:eastAsia="zh-CN"/>
        </w:rPr>
        <w:t>（</w:t>
      </w:r>
      <w:r>
        <w:rPr>
          <w:rFonts w:ascii="宋体" w:hAnsi="宋体" w:eastAsia="宋体" w:cs="宋体"/>
          <w:color w:val="auto"/>
          <w:sz w:val="24"/>
          <w:szCs w:val="24"/>
          <w:highlight w:val="none"/>
          <w:u w:val="single"/>
        </w:rPr>
        <w:t>采购人或采购代理机构</w:t>
      </w:r>
      <w:r>
        <w:rPr>
          <w:rFonts w:ascii="宋体" w:hAnsi="宋体" w:eastAsia="宋体" w:cs="宋体"/>
          <w:color w:val="auto"/>
          <w:sz w:val="24"/>
          <w:szCs w:val="24"/>
          <w:highlight w:val="none"/>
          <w:u w:val="single"/>
          <w:lang w:eastAsia="zh-CN"/>
        </w:rPr>
        <w:t>）</w:t>
      </w:r>
    </w:p>
    <w:p w14:paraId="179EFAF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25C3D710">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特此声明。</w:t>
      </w:r>
    </w:p>
    <w:p w14:paraId="1D6F829D">
      <w:pPr>
        <w:pStyle w:val="31"/>
        <w:widowControl w:val="0"/>
        <w:spacing w:line="440" w:lineRule="exact"/>
        <w:ind w:firstLine="480"/>
        <w:rPr>
          <w:rFonts w:hint="default" w:ascii="宋体" w:hAnsi="宋体" w:eastAsia="宋体" w:cs="宋体"/>
          <w:color w:val="auto"/>
          <w:sz w:val="24"/>
          <w:szCs w:val="24"/>
          <w:highlight w:val="none"/>
          <w:lang w:eastAsia="zh-CN"/>
        </w:rPr>
      </w:pPr>
    </w:p>
    <w:p w14:paraId="4FA88CC8">
      <w:pPr>
        <w:pStyle w:val="31"/>
        <w:widowControl w:val="0"/>
        <w:spacing w:line="440" w:lineRule="exact"/>
        <w:ind w:firstLine="480"/>
        <w:rPr>
          <w:rFonts w:hint="default" w:ascii="宋体" w:hAnsi="宋体" w:eastAsia="宋体" w:cs="宋体"/>
          <w:color w:val="auto"/>
          <w:sz w:val="24"/>
          <w:szCs w:val="24"/>
          <w:highlight w:val="none"/>
          <w:lang w:eastAsia="zh-CN"/>
        </w:rPr>
      </w:pPr>
    </w:p>
    <w:p w14:paraId="3EADC5A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58F9A4DC">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685B300B">
      <w:pPr>
        <w:pStyle w:val="31"/>
        <w:widowControl w:val="0"/>
        <w:spacing w:line="440" w:lineRule="exact"/>
        <w:ind w:firstLine="480"/>
        <w:rPr>
          <w:rFonts w:hint="default" w:ascii="宋体" w:hAnsi="宋体" w:eastAsia="宋体" w:cs="宋体"/>
          <w:color w:val="auto"/>
          <w:sz w:val="24"/>
          <w:szCs w:val="24"/>
          <w:highlight w:val="none"/>
          <w:lang w:eastAsia="zh-CN"/>
        </w:rPr>
      </w:pPr>
    </w:p>
    <w:p w14:paraId="7E4A0426">
      <w:pPr>
        <w:pStyle w:val="31"/>
        <w:widowControl w:val="0"/>
        <w:spacing w:line="440" w:lineRule="exact"/>
        <w:ind w:firstLine="480"/>
        <w:rPr>
          <w:rFonts w:hint="default" w:ascii="宋体" w:hAnsi="宋体" w:eastAsia="宋体" w:cs="宋体"/>
          <w:color w:val="auto"/>
          <w:sz w:val="24"/>
          <w:szCs w:val="24"/>
          <w:highlight w:val="none"/>
          <w:lang w:eastAsia="zh-CN"/>
        </w:rPr>
      </w:pPr>
    </w:p>
    <w:p w14:paraId="4D3EBC1D">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14:paraId="4AE61B4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1、“重大违法记录”指供应商因违法经营受到刑事处罚或责令停产停业、吊销许可证或执照、较大数额罚款等行政处罚。</w:t>
      </w:r>
    </w:p>
    <w:p w14:paraId="1A4D993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2、请供应商根据实际情况如实声明，否则视为提供虚假材料。</w:t>
      </w:r>
    </w:p>
    <w:p w14:paraId="53CD32B4">
      <w:pPr>
        <w:pStyle w:val="31"/>
        <w:widowControl w:val="0"/>
        <w:spacing w:line="440" w:lineRule="exact"/>
        <w:rPr>
          <w:rFonts w:hint="default" w:ascii="宋体" w:hAnsi="宋体" w:eastAsia="宋体" w:cs="宋体"/>
          <w:color w:val="auto"/>
          <w:sz w:val="24"/>
          <w:szCs w:val="24"/>
          <w:highlight w:val="none"/>
        </w:rPr>
      </w:pPr>
    </w:p>
    <w:p w14:paraId="6D34F5EB">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11999E8A">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附件3-</w:t>
      </w:r>
      <w:r>
        <w:rPr>
          <w:rFonts w:hint="eastAsia" w:ascii="宋体" w:hAnsi="宋体" w:eastAsia="宋体" w:cs="宋体"/>
          <w:b/>
          <w:color w:val="auto"/>
          <w:sz w:val="24"/>
          <w:szCs w:val="24"/>
          <w:highlight w:val="none"/>
          <w:lang w:val="en-US" w:eastAsia="zh-CN"/>
        </w:rPr>
        <w:t>5</w:t>
      </w:r>
      <w:r>
        <w:rPr>
          <w:rFonts w:ascii="宋体" w:hAnsi="宋体" w:eastAsia="宋体" w:cs="宋体"/>
          <w:b/>
          <w:color w:val="auto"/>
          <w:sz w:val="24"/>
          <w:szCs w:val="24"/>
          <w:highlight w:val="none"/>
        </w:rPr>
        <w:t xml:space="preserve"> 信用记录查询结果</w:t>
      </w:r>
    </w:p>
    <w:p w14:paraId="081D563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1、由谈判小组通过网站查询并打印供应商的信用记录。</w:t>
      </w:r>
    </w:p>
    <w:p w14:paraId="7BCD6139">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2、经查询，供应商参加本项目采购活动</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响应文件递交截止时间</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前三年内被列入失信被执行人名单、重大税收违法案件当事人名单、政府采购严重违法失信行为记录名单及其他重大违法记录且相关信用惩戒期限未满的，其资格审查不合格。</w:t>
      </w:r>
    </w:p>
    <w:p w14:paraId="307D0E62">
      <w:pPr>
        <w:pStyle w:val="31"/>
        <w:widowControl w:val="0"/>
        <w:spacing w:line="440" w:lineRule="exact"/>
        <w:ind w:firstLine="480"/>
        <w:rPr>
          <w:rFonts w:ascii="宋体" w:hAnsi="宋体" w:eastAsia="宋体" w:cs="宋体"/>
          <w:color w:val="auto"/>
          <w:sz w:val="24"/>
          <w:szCs w:val="24"/>
          <w:highlight w:val="none"/>
        </w:rPr>
        <w:sectPr>
          <w:pgSz w:w="11906" w:h="16838"/>
          <w:pgMar w:top="1417" w:right="1417" w:bottom="1417" w:left="1417" w:header="851" w:footer="992" w:gutter="0"/>
          <w:cols w:space="0" w:num="1"/>
          <w:rtlGutter w:val="0"/>
          <w:docGrid w:type="lines" w:linePitch="312" w:charSpace="0"/>
        </w:sectPr>
      </w:pPr>
      <w:r>
        <w:rPr>
          <w:rFonts w:ascii="宋体" w:hAnsi="宋体" w:eastAsia="宋体" w:cs="宋体"/>
          <w:color w:val="auto"/>
          <w:sz w:val="24"/>
          <w:szCs w:val="24"/>
          <w:highlight w:val="none"/>
        </w:rPr>
        <w:t>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其他有效依据）。</w:t>
      </w:r>
    </w:p>
    <w:p w14:paraId="7DE73952">
      <w:pPr>
        <w:pStyle w:val="31"/>
        <w:widowControl w:val="0"/>
        <w:spacing w:line="440" w:lineRule="exact"/>
        <w:jc w:val="center"/>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附件3-6 联合体协议</w:t>
      </w:r>
    </w:p>
    <w:p w14:paraId="6B033124">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（接受联合体的项目使用）</w:t>
      </w:r>
    </w:p>
    <w:p w14:paraId="12F70EB0">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B238A7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w:t>
      </w:r>
      <w:r>
        <w:rPr>
          <w:rFonts w:hint="eastAsia" w:ascii="宋体" w:hAnsi="宋体" w:eastAsia="宋体" w:cs="宋体"/>
          <w:color w:val="auto"/>
          <w:sz w:val="24"/>
          <w:szCs w:val="24"/>
          <w:highlight w:val="none"/>
          <w:u w:val="single"/>
        </w:rPr>
        <w:t>（填写“联合体中各方的全称”，各方的全称之间请用“、”分割）</w:t>
      </w:r>
      <w:r>
        <w:rPr>
          <w:rFonts w:hint="eastAsia" w:ascii="宋体" w:hAnsi="宋体" w:eastAsia="宋体" w:cs="宋体"/>
          <w:color w:val="auto"/>
          <w:sz w:val="24"/>
          <w:szCs w:val="24"/>
          <w:highlight w:val="none"/>
        </w:rPr>
        <w:t>自愿组成联合体，共同参加（填写</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（填写“项目编号”）</w:t>
      </w:r>
      <w:r>
        <w:rPr>
          <w:rFonts w:hint="eastAsia" w:ascii="宋体" w:hAnsi="宋体" w:eastAsia="宋体" w:cs="宋体"/>
          <w:color w:val="auto"/>
          <w:sz w:val="24"/>
          <w:szCs w:val="24"/>
          <w:highlight w:val="none"/>
        </w:rPr>
        <w:t>）的响应。现就联合体参加本项目响应谈判的有关事宜达成下列协议：</w:t>
      </w:r>
    </w:p>
    <w:p w14:paraId="2C08C17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一、联合体各方应承担的工作和义务具体如下：</w:t>
      </w:r>
    </w:p>
    <w:p w14:paraId="4C1B4BC7">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1、牵头方单位名称：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w:t>
      </w:r>
    </w:p>
    <w:p w14:paraId="1FF4007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74814E2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2.1（成员一的全称）：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w:t>
      </w:r>
    </w:p>
    <w:p w14:paraId="3E66C0C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8BB1AA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二、联合体各方的合同金额占比，具体如下：</w:t>
      </w:r>
    </w:p>
    <w:p w14:paraId="5992E84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1、牵头方单位名称：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w:t>
      </w:r>
    </w:p>
    <w:p w14:paraId="4AD167C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2E87080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2.1（成员一的全称）：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w:t>
      </w:r>
    </w:p>
    <w:p w14:paraId="02993FB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DCFCD6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三、联合体各方约定</w:t>
      </w:r>
    </w:p>
    <w:p w14:paraId="6733E7C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w:t>
      </w:r>
      <w:r>
        <w:rPr>
          <w:rFonts w:hint="eastAsia" w:ascii="宋体" w:hAnsi="宋体" w:eastAsia="宋体" w:cs="宋体"/>
          <w:color w:val="auto"/>
          <w:sz w:val="24"/>
          <w:szCs w:val="24"/>
          <w:highlight w:val="none"/>
          <w:u w:val="single"/>
        </w:rPr>
        <w:t>（填写“牵头方的全称”）</w:t>
      </w:r>
      <w:r>
        <w:rPr>
          <w:rFonts w:hint="eastAsia" w:ascii="宋体" w:hAnsi="宋体" w:eastAsia="宋体" w:cs="宋体"/>
          <w:color w:val="auto"/>
          <w:sz w:val="24"/>
          <w:szCs w:val="24"/>
          <w:highlight w:val="none"/>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14:paraId="37B475B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2、联合体各方约定由（填写“牵头方的全称”）代表联合体办理谈判保证金事宜。</w:t>
      </w:r>
    </w:p>
    <w:p w14:paraId="7024DA8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四、若成交，牵头方将代表联合体与采购人就合同签订事宜进行协商；若协商一致，则联合体各方将共同与采购人签订政府采购合同，并就政府采购合同约定的事项对采购人承担连带责任。</w:t>
      </w:r>
    </w:p>
    <w:p w14:paraId="1718927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五、本协议自签署之日起生效，政府采购合同履行完毕后自动失效。</w:t>
      </w:r>
    </w:p>
    <w:p w14:paraId="6420932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六、本协议一式</w:t>
      </w:r>
      <w:r>
        <w:rPr>
          <w:rFonts w:hint="eastAsia" w:ascii="宋体" w:hAnsi="宋体" w:eastAsia="宋体" w:cs="宋体"/>
          <w:color w:val="auto"/>
          <w:sz w:val="24"/>
          <w:szCs w:val="24"/>
          <w:highlight w:val="none"/>
          <w:u w:val="single"/>
        </w:rPr>
        <w:t>（填写具体份数）</w:t>
      </w:r>
      <w:r>
        <w:rPr>
          <w:rFonts w:hint="eastAsia" w:ascii="宋体" w:hAnsi="宋体" w:eastAsia="宋体" w:cs="宋体"/>
          <w:color w:val="auto"/>
          <w:sz w:val="24"/>
          <w:szCs w:val="24"/>
          <w:highlight w:val="none"/>
        </w:rPr>
        <w:t>份，联合体各方各执一份，响应文件中提交一份。</w:t>
      </w:r>
    </w:p>
    <w:p w14:paraId="502EEAB5">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38B946B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牵头方：</w:t>
      </w:r>
      <w:r>
        <w:rPr>
          <w:rFonts w:hint="eastAsia" w:ascii="宋体" w:hAnsi="宋体" w:eastAsia="宋体" w:cs="宋体"/>
          <w:color w:val="auto"/>
          <w:sz w:val="24"/>
          <w:szCs w:val="24"/>
          <w:highlight w:val="none"/>
          <w:u w:val="single"/>
        </w:rPr>
        <w:t>（全称并加盖单位公章）</w:t>
      </w:r>
    </w:p>
    <w:p w14:paraId="7F282BA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（签字或盖章）</w:t>
      </w:r>
    </w:p>
    <w:p w14:paraId="6FCD993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成员一：</w:t>
      </w:r>
      <w:r>
        <w:rPr>
          <w:rFonts w:hint="eastAsia" w:ascii="宋体" w:hAnsi="宋体" w:eastAsia="宋体" w:cs="宋体"/>
          <w:color w:val="auto"/>
          <w:sz w:val="24"/>
          <w:szCs w:val="24"/>
          <w:highlight w:val="none"/>
          <w:u w:val="single"/>
        </w:rPr>
        <w:t>（全称并加盖成员一的单位公章）</w:t>
      </w:r>
    </w:p>
    <w:p w14:paraId="06079E2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（签字或盖章）</w:t>
      </w:r>
    </w:p>
    <w:p w14:paraId="769EA44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4FF61A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w:t>
      </w:r>
      <w:r>
        <w:rPr>
          <w:rFonts w:hint="eastAsia" w:ascii="宋体" w:hAnsi="宋体" w:eastAsia="宋体" w:cs="宋体"/>
          <w:color w:val="auto"/>
          <w:sz w:val="24"/>
          <w:szCs w:val="24"/>
          <w:highlight w:val="none"/>
          <w:u w:val="single"/>
        </w:rPr>
        <w:t>（全称并加盖成员**的单位公章）</w:t>
      </w:r>
    </w:p>
    <w:p w14:paraId="177E721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（签字或盖章）</w:t>
      </w:r>
    </w:p>
    <w:p w14:paraId="4586787B">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br w:type="textWrapping"/>
      </w:r>
    </w:p>
    <w:p w14:paraId="1560835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EA9862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1、若谈判文件规定接受联合体形式且供应商为联合体的，则供应商应提供本协议；否则无须提供。</w:t>
      </w:r>
    </w:p>
    <w:p w14:paraId="178E92C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2、本协议中的供应商代表如果不是竞争性谈判须知中定义的“单位负责人”，则还必须提供“单位负责人授权书”。</w:t>
      </w:r>
    </w:p>
    <w:p w14:paraId="140EAE5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color w:val="auto"/>
          <w:highlight w:val="none"/>
        </w:rPr>
      </w:pPr>
      <w:r>
        <w:rPr>
          <w:rFonts w:hint="eastAsia" w:ascii="宋体" w:hAnsi="宋体" w:eastAsia="宋体" w:cs="宋体"/>
          <w:color w:val="auto"/>
          <w:sz w:val="24"/>
          <w:szCs w:val="24"/>
          <w:highlight w:val="none"/>
        </w:rPr>
        <w:t>3、在以联合体形式落实中小企业预留份额项目中，供应商除了要提供《中小企业声明函》，还需提供本协议。</w:t>
      </w:r>
    </w:p>
    <w:p w14:paraId="04871202">
      <w:pPr>
        <w:pStyle w:val="31"/>
        <w:widowControl w:val="0"/>
        <w:spacing w:line="440" w:lineRule="exact"/>
        <w:jc w:val="center"/>
        <w:outlineLvl w:val="2"/>
        <w:rPr>
          <w:rFonts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4A2D1444">
      <w:pPr>
        <w:pStyle w:val="31"/>
        <w:widowControl w:val="0"/>
        <w:spacing w:line="440" w:lineRule="exact"/>
        <w:jc w:val="center"/>
        <w:outlineLvl w:val="2"/>
        <w:rPr>
          <w:rFonts w:ascii="宋体" w:hAnsi="宋体" w:eastAsia="宋体" w:cs="宋体"/>
          <w:b/>
          <w:color w:val="auto"/>
          <w:sz w:val="24"/>
          <w:szCs w:val="24"/>
          <w:highlight w:val="none"/>
        </w:rPr>
      </w:pPr>
      <w:r>
        <w:rPr>
          <w:rFonts w:ascii="宋体" w:hAnsi="宋体" w:eastAsia="宋体" w:cs="宋体"/>
          <w:b/>
          <w:color w:val="auto"/>
          <w:sz w:val="24"/>
          <w:szCs w:val="24"/>
          <w:highlight w:val="none"/>
        </w:rPr>
        <w:t>附件3-7 分包意向协议（若有）</w:t>
      </w:r>
    </w:p>
    <w:p w14:paraId="6CBCA38A">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甲方（总包方）：</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（即本项目的供应商）</w:t>
      </w:r>
    </w:p>
    <w:p w14:paraId="1FC34A8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乙方（分包方）：</w:t>
      </w:r>
      <w:r>
        <w:rPr>
          <w:rFonts w:hint="eastAsia" w:ascii="宋体" w:hAnsi="宋体" w:eastAsia="宋体" w:cs="宋体"/>
          <w:color w:val="auto"/>
          <w:sz w:val="24"/>
          <w:szCs w:val="24"/>
          <w:highlight w:val="none"/>
          <w:u w:val="single"/>
        </w:rPr>
        <w:t>　　　　　　　</w:t>
      </w:r>
    </w:p>
    <w:p w14:paraId="5AE2582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兹有甲方参加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 xml:space="preserve"> 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7205BEE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一、分包标的</w:t>
      </w:r>
    </w:p>
    <w:p w14:paraId="466C1BA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（根据双方的意向填写，可以是表格或文字描述）。</w:t>
      </w:r>
    </w:p>
    <w:p w14:paraId="647B06D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二、分包合同金额占比</w:t>
      </w:r>
    </w:p>
    <w:p w14:paraId="4CE06DE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分包合同价占报价总价的比例：</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0837E63B">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三、其他条款</w:t>
      </w:r>
    </w:p>
    <w:p w14:paraId="68202BB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4D442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61F3D4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p>
        </w:tc>
        <w:tc>
          <w:tcPr>
            <w:tcW w:w="4153" w:type="dxa"/>
          </w:tcPr>
          <w:p w14:paraId="35D34802">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w:t>
            </w:r>
          </w:p>
        </w:tc>
      </w:tr>
      <w:tr w14:paraId="0B629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5A7A9BD">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c>
          <w:tcPr>
            <w:tcW w:w="4153" w:type="dxa"/>
          </w:tcPr>
          <w:p w14:paraId="6C6A4558">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r>
      <w:tr w14:paraId="6241F3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D31D8D3">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c>
          <w:tcPr>
            <w:tcW w:w="4153" w:type="dxa"/>
          </w:tcPr>
          <w:p w14:paraId="7BA66477">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r>
      <w:tr w14:paraId="5B0F2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9B2A81C">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c>
          <w:tcPr>
            <w:tcW w:w="4153" w:type="dxa"/>
          </w:tcPr>
          <w:p w14:paraId="3611429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r>
      <w:tr w14:paraId="71D10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1EE1975">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4153" w:type="dxa"/>
          </w:tcPr>
          <w:p w14:paraId="6C751D1E">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528F6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85A469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4153" w:type="dxa"/>
          </w:tcPr>
          <w:p w14:paraId="4FD1A2BF">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36292B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B3959F7">
            <w:pPr>
              <w:pStyle w:val="31"/>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u w:val="single"/>
              </w:rPr>
              <w:t>　　　　　　　　　　</w:t>
            </w:r>
          </w:p>
          <w:p w14:paraId="7116BE89">
            <w:pPr>
              <w:pStyle w:val="31"/>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签约日期：</w:t>
            </w:r>
            <w:r>
              <w:rPr>
                <w:rFonts w:hint="eastAsia" w:ascii="宋体" w:hAnsi="宋体" w:eastAsia="宋体" w:cs="宋体"/>
                <w:color w:val="auto"/>
                <w:sz w:val="24"/>
                <w:szCs w:val="24"/>
                <w:highlight w:val="none"/>
                <w:u w:val="single"/>
              </w:rPr>
              <w:t>　　年　　月　　日</w:t>
            </w:r>
          </w:p>
        </w:tc>
      </w:tr>
    </w:tbl>
    <w:p w14:paraId="4FB535B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2967521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1.谈判文件接受合同分包且供应商拟将合同分包的，应提供本协议；否则无须提供。</w:t>
      </w:r>
    </w:p>
    <w:p w14:paraId="0E36D58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2.本协议由委托代理人签字或盖章的，应按照本章载明的格式提供“单位授权书”。</w:t>
      </w:r>
    </w:p>
    <w:p w14:paraId="1802B857">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r>
        <w:rPr>
          <w:rFonts w:hint="eastAsia" w:ascii="宋体" w:hAnsi="宋体" w:eastAsia="宋体" w:cs="宋体"/>
          <w:color w:val="auto"/>
          <w:sz w:val="24"/>
          <w:szCs w:val="24"/>
          <w:highlight w:val="none"/>
        </w:rPr>
        <w:t>3.在以合同分包形式落实中小企业预留份额项目中，供应商除了要提供《中小企业声明函》，还需提供本协议。</w:t>
      </w:r>
    </w:p>
    <w:p w14:paraId="75AEF30F">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附件3-</w:t>
      </w:r>
      <w:r>
        <w:rPr>
          <w:rFonts w:hint="eastAsia" w:ascii="宋体" w:hAnsi="宋体" w:eastAsia="宋体" w:cs="宋体"/>
          <w:b/>
          <w:color w:val="auto"/>
          <w:sz w:val="24"/>
          <w:szCs w:val="24"/>
          <w:highlight w:val="none"/>
          <w:lang w:val="en-US" w:eastAsia="zh-CN"/>
        </w:rPr>
        <w:t>8</w:t>
      </w:r>
      <w:r>
        <w:rPr>
          <w:rFonts w:ascii="宋体" w:hAnsi="宋体" w:eastAsia="宋体" w:cs="宋体"/>
          <w:b/>
          <w:color w:val="auto"/>
          <w:sz w:val="24"/>
          <w:szCs w:val="24"/>
          <w:highlight w:val="none"/>
        </w:rPr>
        <w:t xml:space="preserve"> 其它资格证明文件</w:t>
      </w:r>
    </w:p>
    <w:p w14:paraId="022D5F5C">
      <w:pPr>
        <w:pStyle w:val="31"/>
        <w:widowControl w:val="0"/>
        <w:spacing w:line="44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（如果有的话）</w:t>
      </w:r>
    </w:p>
    <w:p w14:paraId="447F68A7">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14:paraId="4810D079">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2、若谈判文件规定接受联合体形式且供应商为联合体的，涉及联合体成员的其它资格证明文件在此处提供相关证明材料，并加盖供应商单位公章。</w:t>
      </w:r>
    </w:p>
    <w:p w14:paraId="49AA65A1">
      <w:pPr>
        <w:pStyle w:val="31"/>
        <w:widowControl w:val="0"/>
        <w:spacing w:line="440" w:lineRule="exact"/>
        <w:ind w:firstLine="480"/>
        <w:rPr>
          <w:rFonts w:hint="default" w:ascii="宋体" w:hAnsi="宋体" w:eastAsia="宋体" w:cs="宋体"/>
          <w:color w:val="auto"/>
          <w:sz w:val="24"/>
          <w:szCs w:val="24"/>
          <w:highlight w:val="none"/>
          <w:lang w:eastAsia="zh-CN"/>
        </w:rPr>
      </w:pPr>
    </w:p>
    <w:p w14:paraId="0AFC294D">
      <w:pPr>
        <w:pStyle w:val="31"/>
        <w:widowControl w:val="0"/>
        <w:spacing w:line="440" w:lineRule="exact"/>
        <w:ind w:firstLine="480"/>
        <w:rPr>
          <w:rFonts w:hint="default" w:ascii="宋体" w:hAnsi="宋体" w:eastAsia="宋体" w:cs="宋体"/>
          <w:color w:val="auto"/>
          <w:sz w:val="24"/>
          <w:szCs w:val="24"/>
          <w:highlight w:val="none"/>
          <w:lang w:eastAsia="zh-CN"/>
        </w:rPr>
      </w:pPr>
    </w:p>
    <w:p w14:paraId="4820D53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713CD9A8">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18A20672">
      <w:pPr>
        <w:pStyle w:val="31"/>
        <w:widowControl w:val="0"/>
        <w:spacing w:line="440" w:lineRule="exact"/>
        <w:ind w:firstLine="480"/>
        <w:rPr>
          <w:rFonts w:hint="default" w:ascii="宋体" w:hAnsi="宋体" w:eastAsia="宋体" w:cs="宋体"/>
          <w:b/>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64EB9715">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2469056A">
      <w:pPr>
        <w:pStyle w:val="31"/>
        <w:widowControl w:val="0"/>
        <w:spacing w:line="440" w:lineRule="exact"/>
        <w:jc w:val="center"/>
        <w:outlineLvl w:val="1"/>
        <w:rPr>
          <w:rFonts w:ascii="宋体" w:hAnsi="宋体" w:eastAsia="宋体" w:cs="宋体"/>
          <w:b/>
          <w:color w:val="auto"/>
          <w:sz w:val="24"/>
          <w:szCs w:val="24"/>
          <w:highlight w:val="none"/>
        </w:rPr>
      </w:pPr>
      <w:r>
        <w:rPr>
          <w:rFonts w:ascii="宋体" w:hAnsi="宋体" w:eastAsia="宋体" w:cs="宋体"/>
          <w:b/>
          <w:color w:val="auto"/>
          <w:sz w:val="24"/>
          <w:szCs w:val="24"/>
          <w:highlight w:val="none"/>
        </w:rPr>
        <w:t>附件4 谈判保证金凭证</w:t>
      </w:r>
    </w:p>
    <w:p w14:paraId="46770090">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590416D0">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在此项下提交的“谈判保证金”材料可使用转账凭证复印件</w:t>
      </w:r>
      <w:r>
        <w:rPr>
          <w:rFonts w:hint="eastAsia" w:ascii="宋体" w:hAnsi="宋体" w:eastAsia="宋体" w:cs="宋体"/>
          <w:color w:val="auto"/>
          <w:sz w:val="24"/>
          <w:szCs w:val="24"/>
          <w:highlight w:val="none"/>
          <w:lang w:eastAsia="zh-CN"/>
        </w:rPr>
        <w:t>。</w:t>
      </w:r>
    </w:p>
    <w:p w14:paraId="5112DA1B">
      <w:pPr>
        <w:pStyle w:val="31"/>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r>
        <w:rPr>
          <w:rFonts w:hint="eastAsia" w:ascii="宋体" w:hAnsi="宋体" w:eastAsia="宋体" w:cs="宋体"/>
          <w:color w:val="auto"/>
          <w:sz w:val="24"/>
          <w:szCs w:val="24"/>
          <w:highlight w:val="none"/>
        </w:rPr>
        <w:t>2、谈判保证金是否已提交按照谈判文件规定执行。</w:t>
      </w:r>
    </w:p>
    <w:p w14:paraId="54BC47CF">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5</w:t>
      </w:r>
      <w:r>
        <w:rPr>
          <w:rFonts w:ascii="宋体" w:hAnsi="宋体" w:eastAsia="宋体" w:cs="宋体"/>
          <w:b/>
          <w:color w:val="auto"/>
          <w:sz w:val="24"/>
          <w:szCs w:val="24"/>
          <w:highlight w:val="none"/>
        </w:rPr>
        <w:t>：技术、服务和商务响应表</w:t>
      </w:r>
    </w:p>
    <w:p w14:paraId="45F10C5A">
      <w:pPr>
        <w:pStyle w:val="31"/>
        <w:widowControl w:val="0"/>
        <w:spacing w:line="44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5</w:t>
      </w:r>
      <w:r>
        <w:rPr>
          <w:rFonts w:ascii="宋体" w:hAnsi="宋体" w:eastAsia="宋体" w:cs="宋体"/>
          <w:b/>
          <w:color w:val="auto"/>
          <w:sz w:val="24"/>
          <w:szCs w:val="24"/>
          <w:highlight w:val="none"/>
        </w:rPr>
        <w:t>-1：技术和服务要求响应表</w:t>
      </w:r>
    </w:p>
    <w:p w14:paraId="57B9DD2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7"/>
        <w:gridCol w:w="1505"/>
        <w:gridCol w:w="2412"/>
        <w:gridCol w:w="2188"/>
        <w:gridCol w:w="2006"/>
      </w:tblGrid>
      <w:tr w14:paraId="5A9D7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255B33F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14:paraId="12D575B0">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438" w:type="dxa"/>
          </w:tcPr>
          <w:p w14:paraId="7E3360F3">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竞争性谈判文件规定的技术和服务要求</w:t>
            </w:r>
          </w:p>
        </w:tc>
        <w:tc>
          <w:tcPr>
            <w:tcW w:w="2211" w:type="dxa"/>
          </w:tcPr>
          <w:p w14:paraId="31EDA84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026" w:type="dxa"/>
          </w:tcPr>
          <w:p w14:paraId="13ADD203">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14:paraId="116F6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1A0A9AD9">
            <w:pPr>
              <w:spacing w:line="440" w:lineRule="exact"/>
              <w:rPr>
                <w:rFonts w:ascii="宋体" w:hAnsi="宋体" w:eastAsia="宋体" w:cs="宋体"/>
                <w:color w:val="auto"/>
                <w:sz w:val="24"/>
                <w:highlight w:val="none"/>
              </w:rPr>
            </w:pPr>
          </w:p>
        </w:tc>
        <w:tc>
          <w:tcPr>
            <w:tcW w:w="1519" w:type="dxa"/>
          </w:tcPr>
          <w:p w14:paraId="2E69FFC3">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438" w:type="dxa"/>
          </w:tcPr>
          <w:p w14:paraId="40949F4B">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51FB80C1">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66CCA86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11815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769DB1A5">
            <w:pPr>
              <w:spacing w:line="440" w:lineRule="exact"/>
              <w:rPr>
                <w:rFonts w:ascii="宋体" w:hAnsi="宋体" w:eastAsia="宋体" w:cs="宋体"/>
                <w:color w:val="auto"/>
                <w:sz w:val="24"/>
                <w:highlight w:val="none"/>
              </w:rPr>
            </w:pPr>
          </w:p>
        </w:tc>
        <w:tc>
          <w:tcPr>
            <w:tcW w:w="1519" w:type="dxa"/>
          </w:tcPr>
          <w:p w14:paraId="3CE95334">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438" w:type="dxa"/>
          </w:tcPr>
          <w:p w14:paraId="6252B7E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11589F8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6E1D2C48">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1EFF8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391ECB65">
            <w:pPr>
              <w:spacing w:line="440" w:lineRule="exact"/>
              <w:rPr>
                <w:rFonts w:ascii="宋体" w:hAnsi="宋体" w:eastAsia="宋体" w:cs="宋体"/>
                <w:color w:val="auto"/>
                <w:sz w:val="24"/>
                <w:highlight w:val="none"/>
              </w:rPr>
            </w:pPr>
          </w:p>
        </w:tc>
        <w:tc>
          <w:tcPr>
            <w:tcW w:w="1519" w:type="dxa"/>
          </w:tcPr>
          <w:p w14:paraId="7F0333D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438" w:type="dxa"/>
          </w:tcPr>
          <w:p w14:paraId="3315D10B">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3356329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14:paraId="7F986D6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14:paraId="2F681872">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和采购代理机构造成损失的，还必须进行赔偿并负相关责任。</w:t>
      </w:r>
    </w:p>
    <w:p w14:paraId="0B5AA569">
      <w:pPr>
        <w:pStyle w:val="31"/>
        <w:widowControl w:val="0"/>
        <w:spacing w:line="440" w:lineRule="exact"/>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14:paraId="08192DD7">
      <w:pPr>
        <w:pStyle w:val="31"/>
        <w:widowControl w:val="0"/>
        <w:spacing w:line="440" w:lineRule="exact"/>
        <w:rPr>
          <w:rFonts w:hint="default" w:ascii="宋体" w:hAnsi="宋体" w:eastAsia="宋体" w:cs="宋体"/>
          <w:b/>
          <w:color w:val="auto"/>
          <w:sz w:val="24"/>
          <w:szCs w:val="24"/>
          <w:highlight w:val="none"/>
          <w:lang w:eastAsia="zh-CN"/>
        </w:rPr>
      </w:pPr>
    </w:p>
    <w:p w14:paraId="145AA445">
      <w:pPr>
        <w:pStyle w:val="31"/>
        <w:widowControl w:val="0"/>
        <w:spacing w:line="440" w:lineRule="exact"/>
        <w:rPr>
          <w:rFonts w:hint="default" w:ascii="宋体" w:hAnsi="宋体" w:eastAsia="宋体" w:cs="宋体"/>
          <w:color w:val="auto"/>
          <w:sz w:val="24"/>
          <w:szCs w:val="24"/>
          <w:highlight w:val="none"/>
          <w:lang w:eastAsia="zh-CN"/>
        </w:rPr>
      </w:pPr>
    </w:p>
    <w:p w14:paraId="10F42116">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14:paraId="1EA36335">
      <w:pPr>
        <w:spacing w:line="440" w:lineRule="exact"/>
        <w:rPr>
          <w:rFonts w:ascii="宋体" w:hAnsi="宋体" w:eastAsia="宋体" w:cs="宋体"/>
          <w:b/>
          <w:color w:val="auto"/>
          <w:sz w:val="24"/>
          <w:highlight w:val="none"/>
        </w:rPr>
      </w:pPr>
    </w:p>
    <w:p w14:paraId="5EE5E957">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23061561">
      <w:pPr>
        <w:pStyle w:val="31"/>
        <w:widowControl w:val="0"/>
        <w:spacing w:line="44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5</w:t>
      </w:r>
      <w:r>
        <w:rPr>
          <w:rFonts w:ascii="宋体" w:hAnsi="宋体" w:eastAsia="宋体" w:cs="宋体"/>
          <w:b/>
          <w:color w:val="auto"/>
          <w:sz w:val="24"/>
          <w:szCs w:val="24"/>
          <w:highlight w:val="none"/>
        </w:rPr>
        <w:t xml:space="preserve">-2 商务条件和其它事项响应表 </w:t>
      </w:r>
    </w:p>
    <w:p w14:paraId="3A1BDDDC">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rPr>
        <w:t xml:space="preserve">            </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4"/>
        <w:gridCol w:w="1519"/>
        <w:gridCol w:w="2211"/>
        <w:gridCol w:w="2154"/>
        <w:gridCol w:w="2154"/>
      </w:tblGrid>
      <w:tr w14:paraId="13D69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55342A2C">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14:paraId="5A885DCD">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211" w:type="dxa"/>
          </w:tcPr>
          <w:p w14:paraId="703FD14A">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竞争性谈判文件规定的商务条件要求</w:t>
            </w:r>
          </w:p>
        </w:tc>
        <w:tc>
          <w:tcPr>
            <w:tcW w:w="2154" w:type="dxa"/>
          </w:tcPr>
          <w:p w14:paraId="7A2F6A8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154" w:type="dxa"/>
          </w:tcPr>
          <w:p w14:paraId="701964BD">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14:paraId="0FC84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03BBCEC0">
            <w:pPr>
              <w:spacing w:line="440" w:lineRule="exact"/>
              <w:rPr>
                <w:rFonts w:ascii="宋体" w:hAnsi="宋体" w:eastAsia="宋体" w:cs="宋体"/>
                <w:color w:val="auto"/>
                <w:sz w:val="24"/>
                <w:highlight w:val="none"/>
              </w:rPr>
            </w:pPr>
          </w:p>
        </w:tc>
        <w:tc>
          <w:tcPr>
            <w:tcW w:w="1519" w:type="dxa"/>
          </w:tcPr>
          <w:p w14:paraId="2974D0B0">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207F9A2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031BFD82">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6C11E16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25FCC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0EDAD88B">
            <w:pPr>
              <w:spacing w:line="440" w:lineRule="exact"/>
              <w:rPr>
                <w:rFonts w:ascii="宋体" w:hAnsi="宋体" w:eastAsia="宋体" w:cs="宋体"/>
                <w:color w:val="auto"/>
                <w:sz w:val="24"/>
                <w:highlight w:val="none"/>
              </w:rPr>
            </w:pPr>
          </w:p>
        </w:tc>
        <w:tc>
          <w:tcPr>
            <w:tcW w:w="1519" w:type="dxa"/>
          </w:tcPr>
          <w:p w14:paraId="51DE0E6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28EA3881">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0F2E786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1B86247E">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14:paraId="511B3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4" w:type="dxa"/>
          </w:tcPr>
          <w:p w14:paraId="4AD3D95D">
            <w:pPr>
              <w:spacing w:line="440" w:lineRule="exact"/>
              <w:rPr>
                <w:rFonts w:ascii="宋体" w:hAnsi="宋体" w:eastAsia="宋体" w:cs="宋体"/>
                <w:color w:val="auto"/>
                <w:sz w:val="24"/>
                <w:highlight w:val="none"/>
              </w:rPr>
            </w:pPr>
          </w:p>
        </w:tc>
        <w:tc>
          <w:tcPr>
            <w:tcW w:w="1519" w:type="dxa"/>
          </w:tcPr>
          <w:p w14:paraId="5C66DE2F">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211" w:type="dxa"/>
          </w:tcPr>
          <w:p w14:paraId="27DF3FE9">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4BC78265">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154" w:type="dxa"/>
          </w:tcPr>
          <w:p w14:paraId="13E37A3B">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14:paraId="6AFD3A74">
      <w:pPr>
        <w:pStyle w:val="31"/>
        <w:widowControl w:val="0"/>
        <w:spacing w:line="44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和采购代理机构造成损失的，还必须进行赔偿并负相关责任。</w:t>
      </w:r>
    </w:p>
    <w:p w14:paraId="19263EAA">
      <w:pPr>
        <w:pStyle w:val="31"/>
        <w:widowControl w:val="0"/>
        <w:spacing w:line="440" w:lineRule="exact"/>
        <w:rPr>
          <w:rFonts w:hint="default" w:ascii="宋体" w:hAnsi="宋体" w:eastAsia="宋体" w:cs="宋体"/>
          <w:b/>
          <w:color w:val="auto"/>
          <w:sz w:val="24"/>
          <w:szCs w:val="24"/>
          <w:highlight w:val="none"/>
          <w:lang w:eastAsia="zh-CN"/>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14:paraId="4E1F9D98">
      <w:pPr>
        <w:pStyle w:val="31"/>
        <w:widowControl w:val="0"/>
        <w:spacing w:line="440" w:lineRule="exact"/>
        <w:rPr>
          <w:rFonts w:hint="default" w:ascii="宋体" w:hAnsi="宋体" w:eastAsia="宋体" w:cs="宋体"/>
          <w:b/>
          <w:color w:val="auto"/>
          <w:sz w:val="24"/>
          <w:szCs w:val="24"/>
          <w:highlight w:val="none"/>
          <w:lang w:eastAsia="zh-CN"/>
        </w:rPr>
      </w:pPr>
    </w:p>
    <w:p w14:paraId="53867355">
      <w:pPr>
        <w:pStyle w:val="31"/>
        <w:widowControl w:val="0"/>
        <w:spacing w:line="440" w:lineRule="exact"/>
        <w:rPr>
          <w:rFonts w:hint="default" w:ascii="宋体" w:hAnsi="宋体" w:eastAsia="宋体" w:cs="宋体"/>
          <w:color w:val="auto"/>
          <w:sz w:val="24"/>
          <w:szCs w:val="24"/>
          <w:highlight w:val="none"/>
          <w:lang w:eastAsia="zh-CN"/>
        </w:rPr>
      </w:pPr>
    </w:p>
    <w:p w14:paraId="763C325C">
      <w:pPr>
        <w:pStyle w:val="31"/>
        <w:widowControl w:val="0"/>
        <w:spacing w:line="440" w:lineRule="exact"/>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14:paraId="34A3DB15">
      <w:pPr>
        <w:pStyle w:val="31"/>
        <w:widowControl w:val="0"/>
        <w:spacing w:line="44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6</w:t>
      </w:r>
      <w:r>
        <w:rPr>
          <w:rFonts w:ascii="宋体" w:hAnsi="宋体" w:eastAsia="宋体" w:cs="宋体"/>
          <w:b/>
          <w:color w:val="auto"/>
          <w:sz w:val="24"/>
          <w:szCs w:val="24"/>
          <w:highlight w:val="none"/>
        </w:rPr>
        <w:t xml:space="preserve"> 相关技术、商务、服务响应承诺及资料</w:t>
      </w:r>
    </w:p>
    <w:p w14:paraId="74AAD8DC">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14:paraId="16A9574F">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14:paraId="582B759D">
      <w:pPr>
        <w:pStyle w:val="31"/>
        <w:widowControl w:val="0"/>
        <w:spacing w:line="440" w:lineRule="exact"/>
        <w:ind w:firstLine="482"/>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2.如果没有特别要求的，供应商根据谈判文件的要求以及特点，提供相关技术、商务、服务响应承诺及资料，格式自拟。</w:t>
      </w:r>
    </w:p>
    <w:p w14:paraId="7132AE76">
      <w:pPr>
        <w:pStyle w:val="31"/>
        <w:widowControl w:val="0"/>
        <w:spacing w:line="440" w:lineRule="exact"/>
        <w:ind w:firstLine="482"/>
        <w:rPr>
          <w:rFonts w:hint="default" w:ascii="宋体" w:hAnsi="宋体" w:eastAsia="宋体" w:cs="宋体"/>
          <w:color w:val="auto"/>
          <w:sz w:val="24"/>
          <w:szCs w:val="24"/>
          <w:highlight w:val="none"/>
          <w:lang w:eastAsia="zh-CN"/>
        </w:rPr>
      </w:pPr>
    </w:p>
    <w:p w14:paraId="3E7E8832">
      <w:pPr>
        <w:pStyle w:val="31"/>
        <w:widowControl w:val="0"/>
        <w:spacing w:line="440" w:lineRule="exact"/>
        <w:ind w:firstLine="482"/>
        <w:rPr>
          <w:rFonts w:hint="default" w:ascii="宋体" w:hAnsi="宋体" w:eastAsia="宋体" w:cs="宋体"/>
          <w:color w:val="auto"/>
          <w:sz w:val="24"/>
          <w:szCs w:val="24"/>
          <w:highlight w:val="none"/>
          <w:lang w:eastAsia="zh-CN"/>
        </w:rPr>
      </w:pPr>
    </w:p>
    <w:p w14:paraId="3AABD5D2">
      <w:pPr>
        <w:pStyle w:val="31"/>
        <w:widowControl w:val="0"/>
        <w:spacing w:line="440" w:lineRule="exact"/>
        <w:ind w:firstLine="482"/>
        <w:rPr>
          <w:rFonts w:hint="default" w:ascii="宋体" w:hAnsi="宋体" w:eastAsia="宋体" w:cs="宋体"/>
          <w:color w:val="auto"/>
          <w:sz w:val="24"/>
          <w:szCs w:val="24"/>
          <w:highlight w:val="none"/>
          <w:lang w:eastAsia="zh-CN"/>
        </w:rPr>
      </w:pPr>
    </w:p>
    <w:p w14:paraId="1AA64AC1">
      <w:pPr>
        <w:pStyle w:val="31"/>
        <w:widowControl w:val="0"/>
        <w:spacing w:line="440" w:lineRule="exact"/>
        <w:ind w:firstLine="482"/>
        <w:rPr>
          <w:rFonts w:hint="default" w:ascii="宋体" w:hAnsi="宋体" w:eastAsia="宋体" w:cs="宋体"/>
          <w:color w:val="auto"/>
          <w:sz w:val="24"/>
          <w:szCs w:val="24"/>
          <w:highlight w:val="none"/>
          <w:lang w:eastAsia="zh-CN"/>
        </w:rPr>
      </w:pPr>
    </w:p>
    <w:p w14:paraId="509C14DD">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3666EDAE">
      <w:pPr>
        <w:pStyle w:val="31"/>
        <w:widowControl w:val="0"/>
        <w:spacing w:line="440" w:lineRule="exact"/>
        <w:ind w:firstLine="482"/>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368EB765">
      <w:pPr>
        <w:pStyle w:val="31"/>
        <w:widowControl w:val="0"/>
        <w:spacing w:line="440" w:lineRule="exact"/>
        <w:ind w:firstLine="482"/>
        <w:rPr>
          <w:rFonts w:hint="default" w:ascii="宋体" w:hAnsi="宋体" w:eastAsia="宋体" w:cs="宋体"/>
          <w:b/>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1A443A8F">
      <w:pPr>
        <w:pStyle w:val="31"/>
        <w:widowControl w:val="0"/>
        <w:spacing w:line="440" w:lineRule="exact"/>
        <w:jc w:val="center"/>
        <w:rPr>
          <w:rFonts w:hint="default"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4767711A">
      <w:pPr>
        <w:pStyle w:val="31"/>
        <w:widowControl w:val="0"/>
        <w:spacing w:line="440" w:lineRule="exact"/>
        <w:jc w:val="center"/>
        <w:outlineLvl w:val="1"/>
        <w:rPr>
          <w:rFonts w:hint="eastAsia" w:ascii="宋体" w:hAnsi="宋体" w:eastAsia="宋体" w:cs="宋体"/>
          <w:b/>
          <w:color w:val="auto"/>
          <w:sz w:val="24"/>
          <w:szCs w:val="24"/>
          <w:highlight w:val="none"/>
        </w:rPr>
      </w:pPr>
      <w:bookmarkStart w:id="9" w:name="_Toc6816"/>
      <w:r>
        <w:rPr>
          <w:rFonts w:hint="eastAsia" w:ascii="宋体" w:hAnsi="宋体" w:eastAsia="宋体" w:cs="宋体"/>
          <w:b/>
          <w:color w:val="auto"/>
          <w:sz w:val="24"/>
          <w:szCs w:val="24"/>
          <w:highlight w:val="none"/>
        </w:rPr>
        <w:t>附件7 供应商提交符合政府采购政策的证明材料</w:t>
      </w:r>
    </w:p>
    <w:p w14:paraId="76BEDB2C">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附件7-1-1 中小企业声明函（若有）</w:t>
      </w:r>
    </w:p>
    <w:p w14:paraId="12E574D8">
      <w:pPr>
        <w:pStyle w:val="31"/>
        <w:keepNext w:val="0"/>
        <w:keepLines w:val="0"/>
        <w:pageBreakBefore w:val="0"/>
        <w:widowControl w:val="0"/>
        <w:kinsoku/>
        <w:wordWrap/>
        <w:overflowPunct/>
        <w:topLinePunct w:val="0"/>
        <w:autoSpaceDE/>
        <w:autoSpaceDN/>
        <w:bidi w:val="0"/>
        <w:adjustRightInd/>
        <w:snapToGrid/>
        <w:spacing w:line="440" w:lineRule="exact"/>
        <w:ind w:firstLine="48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中小企业声明函（货物）</w:t>
      </w:r>
    </w:p>
    <w:p w14:paraId="25ABAE1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郑重声明，根据《政府采购促进中小企业发展管理办法》（财库﹝2020﹞46号）的规定，本公司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4C3E72DB">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万元¹，属于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48CF4A1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476D290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462C95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6F05BE6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17F8284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3D97940">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5884316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※注意：</w:t>
      </w:r>
    </w:p>
    <w:p w14:paraId="4D7F37A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1、从业人员、营业收入、资产总额填报上一年度数据，无上一年度数据的新成立企业可不填报。</w:t>
      </w:r>
    </w:p>
    <w:p w14:paraId="61D6DCEE">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210DD7A0">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7364EA87">
      <w:pPr>
        <w:pStyle w:val="31"/>
        <w:keepNext w:val="0"/>
        <w:keepLines w:val="0"/>
        <w:pageBreakBefore w:val="0"/>
        <w:widowControl w:val="0"/>
        <w:kinsoku/>
        <w:wordWrap/>
        <w:overflowPunct/>
        <w:topLinePunct w:val="0"/>
        <w:autoSpaceDE/>
        <w:autoSpaceDN/>
        <w:bidi w:val="0"/>
        <w:adjustRightInd/>
        <w:snapToGrid/>
        <w:spacing w:line="440" w:lineRule="exact"/>
        <w:ind w:firstLine="480"/>
        <w:jc w:val="center"/>
        <w:textAlignment w:val="auto"/>
        <w:rPr>
          <w:rFonts w:hint="eastAsia" w:ascii="宋体" w:hAnsi="宋体" w:eastAsia="宋体" w:cs="宋体"/>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428DB8B5">
      <w:pPr>
        <w:pStyle w:val="31"/>
        <w:keepNext w:val="0"/>
        <w:keepLines w:val="0"/>
        <w:pageBreakBefore w:val="0"/>
        <w:widowControl w:val="0"/>
        <w:kinsoku/>
        <w:wordWrap/>
        <w:overflowPunct/>
        <w:topLinePunct w:val="0"/>
        <w:autoSpaceDE/>
        <w:autoSpaceDN/>
        <w:bidi w:val="0"/>
        <w:adjustRightInd/>
        <w:snapToGrid/>
        <w:spacing w:line="440" w:lineRule="exact"/>
        <w:ind w:firstLine="48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中小企业声明函（工程、服务）</w:t>
      </w:r>
    </w:p>
    <w:p w14:paraId="6616A09D">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郑重声明，根据《政府采购促进中小企业发展管理办法》（财库﹝2020﹞46号）的规定，本公司</w:t>
      </w:r>
      <w:r>
        <w:rPr>
          <w:rFonts w:hint="eastAsia" w:ascii="宋体" w:hAnsi="宋体" w:eastAsia="宋体" w:cs="宋体"/>
          <w:color w:val="auto"/>
          <w:sz w:val="24"/>
          <w:szCs w:val="24"/>
          <w:highlight w:val="none"/>
          <w:u w:val="single"/>
        </w:rPr>
        <w:t>（联合体）</w:t>
      </w:r>
      <w:r>
        <w:rPr>
          <w:rFonts w:hint="eastAsia" w:ascii="宋体" w:hAnsi="宋体" w:eastAsia="宋体" w:cs="宋体"/>
          <w:color w:val="auto"/>
          <w:sz w:val="24"/>
          <w:szCs w:val="24"/>
          <w:highlight w:val="none"/>
        </w:rPr>
        <w:t>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DFA3A0B">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万元¹，属于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18A1828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29843497">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B311F87">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022DDDC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782AADB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7F27DD7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4F5A129">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※注意：</w:t>
      </w:r>
    </w:p>
    <w:p w14:paraId="32679056">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1、从业人员、营业收入、资产总额填报上一年度数据，无上一年度数据的新成立企业可不填报。</w:t>
      </w:r>
    </w:p>
    <w:p w14:paraId="2B659792">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F9A6A13">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21CF1376">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20D7A585">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附件7-1-2 残疾人福利性单位声明函（若有）</w:t>
      </w:r>
    </w:p>
    <w:p w14:paraId="33F9BD2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项目采购活动：</w:t>
      </w:r>
    </w:p>
    <w:p w14:paraId="672BDAC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（）提供本供应商制造的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货物，或提供其他残疾人福利性单位制造的</w:t>
      </w:r>
      <w:r>
        <w:rPr>
          <w:rFonts w:hint="eastAsia" w:ascii="宋体" w:hAnsi="宋体" w:eastAsia="宋体" w:cs="宋体"/>
          <w:color w:val="auto"/>
          <w:sz w:val="24"/>
          <w:szCs w:val="24"/>
          <w:highlight w:val="none"/>
          <w:u w:val="single"/>
        </w:rPr>
        <w:t>（不包括使用非残疾人福利性单位注册商标的货物）</w:t>
      </w:r>
      <w:r>
        <w:rPr>
          <w:rFonts w:hint="eastAsia" w:ascii="宋体" w:hAnsi="宋体" w:eastAsia="宋体" w:cs="宋体"/>
          <w:color w:val="auto"/>
          <w:sz w:val="24"/>
          <w:szCs w:val="24"/>
          <w:highlight w:val="none"/>
        </w:rPr>
        <w:t>货物。（说明：只有部分货物由残疾人福利企业制造的，在该货物后标★）</w:t>
      </w:r>
    </w:p>
    <w:p w14:paraId="63026018">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（）由本供应商承建的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工程</w:t>
      </w:r>
    </w:p>
    <w:p w14:paraId="61024D0A">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（）由本供应商承接的</w:t>
      </w:r>
      <w:r>
        <w:rPr>
          <w:rFonts w:hint="eastAsia" w:ascii="宋体" w:hAnsi="宋体" w:eastAsia="宋体" w:cs="宋体"/>
          <w:color w:val="auto"/>
          <w:sz w:val="24"/>
          <w:szCs w:val="24"/>
          <w:highlight w:val="none"/>
          <w:u w:val="single"/>
        </w:rPr>
        <w:t>（填写“所投采购包、品目号”）</w:t>
      </w:r>
      <w:r>
        <w:rPr>
          <w:rFonts w:hint="eastAsia" w:ascii="宋体" w:hAnsi="宋体" w:eastAsia="宋体" w:cs="宋体"/>
          <w:color w:val="auto"/>
          <w:sz w:val="24"/>
          <w:szCs w:val="24"/>
          <w:highlight w:val="none"/>
        </w:rPr>
        <w:t>服务；</w:t>
      </w:r>
    </w:p>
    <w:p w14:paraId="7417D8E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本供应商对上述声明的真实性负责。如有虚假，将依法承担相应责任。</w:t>
      </w:r>
    </w:p>
    <w:p w14:paraId="46B2026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供应商代表</w:t>
      </w:r>
      <w:r>
        <w:rPr>
          <w:rFonts w:hint="eastAsia" w:ascii="宋体" w:hAnsi="宋体" w:eastAsia="宋体" w:cs="宋体"/>
          <w:color w:val="auto"/>
          <w:sz w:val="24"/>
          <w:szCs w:val="24"/>
          <w:highlight w:val="none"/>
          <w:u w:val="single"/>
        </w:rPr>
        <w:t>（签字）</w:t>
      </w:r>
    </w:p>
    <w:p w14:paraId="4F9891F7">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（全称并加盖公章）</w:t>
      </w:r>
    </w:p>
    <w:p w14:paraId="229E626F">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日期：年月日</w:t>
      </w:r>
    </w:p>
    <w:p w14:paraId="53ED8C49">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1）若供应商不符合残疾人福利性单位，不用提供本声明函，否则视为提供虚假材料。供应商在提交最后报价前，如果已向谈判小组提交上述声明函，视同为供应商符合残疾人福利性单位，享受价格扣除的优惠政策。</w:t>
      </w:r>
    </w:p>
    <w:p w14:paraId="061EDB46">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（2）请供应商按照实际情况编制填写本声明函，并在相应的（）中打“√”。</w:t>
      </w:r>
    </w:p>
    <w:p w14:paraId="29A17A94">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（3）纸质响应文件正本中的本声明函（若有）应为原件。</w:t>
      </w:r>
    </w:p>
    <w:p w14:paraId="33DFA8E1">
      <w:pPr>
        <w:pStyle w:val="31"/>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（4）若《残疾人福利性单位声明函》内容不真实，视为提供虚假材料。</w:t>
      </w:r>
    </w:p>
    <w:p w14:paraId="62E4A0B9">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3E499D8B">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附件7-1-3 监狱企业证明材料</w:t>
      </w:r>
    </w:p>
    <w:p w14:paraId="5DE3723A">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供应商为监狱企业，提供本单位制造的货物（承接的服务），并在响应文件中提供省级以上监狱管理局、戒毒管理局（含新疆生产建设兵团）出具的属于监狱企业的证明文件。</w:t>
      </w:r>
    </w:p>
    <w:p w14:paraId="32F7BE9B">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0CC1E5FE">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附件7-2优先类节能产品、环境标志产品价格扣除证明材料（若有）</w:t>
      </w:r>
    </w:p>
    <w:p w14:paraId="6BE6D2D5">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0A388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9CBFD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p>
        </w:tc>
        <w:tc>
          <w:tcPr>
            <w:tcW w:w="7122" w:type="dxa"/>
            <w:gridSpan w:val="3"/>
          </w:tcPr>
          <w:p w14:paraId="13788223">
            <w:pPr>
              <w:pStyle w:val="31"/>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本采购包内属于节能、环境标志产品情况</w:t>
            </w:r>
          </w:p>
        </w:tc>
      </w:tr>
      <w:tr w14:paraId="77F5F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1D415A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1187" w:type="dxa"/>
          </w:tcPr>
          <w:p w14:paraId="610C6F4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1187" w:type="dxa"/>
          </w:tcPr>
          <w:p w14:paraId="49DD4EF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c>
          <w:tcPr>
            <w:tcW w:w="4748" w:type="dxa"/>
          </w:tcPr>
          <w:p w14:paraId="04AAD3CB">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认证种类</w:t>
            </w:r>
          </w:p>
        </w:tc>
      </w:tr>
      <w:tr w14:paraId="1B5FC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02A5C69A">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187" w:type="dxa"/>
          </w:tcPr>
          <w:p w14:paraId="28650334">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87" w:type="dxa"/>
          </w:tcPr>
          <w:p w14:paraId="2861BF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p>
        </w:tc>
        <w:tc>
          <w:tcPr>
            <w:tcW w:w="4748" w:type="dxa"/>
          </w:tcPr>
          <w:p w14:paraId="367F16E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供应商自行填写种类，并上传证明附件以便评审查看</w:t>
            </w:r>
          </w:p>
        </w:tc>
      </w:tr>
      <w:tr w14:paraId="4C20D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7FEF88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p>
        </w:tc>
        <w:tc>
          <w:tcPr>
            <w:tcW w:w="1187" w:type="dxa"/>
          </w:tcPr>
          <w:p w14:paraId="456BE231">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E44FE70">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p>
        </w:tc>
        <w:tc>
          <w:tcPr>
            <w:tcW w:w="1187" w:type="dxa"/>
          </w:tcPr>
          <w:p w14:paraId="6FBB2A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p>
        </w:tc>
        <w:tc>
          <w:tcPr>
            <w:tcW w:w="4748" w:type="dxa"/>
          </w:tcPr>
          <w:p w14:paraId="011A89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p>
        </w:tc>
      </w:tr>
      <w:tr w14:paraId="5AA03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97EBCE9">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122" w:type="dxa"/>
            <w:gridSpan w:val="3"/>
          </w:tcPr>
          <w:p w14:paraId="06047D16">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p>
        </w:tc>
      </w:tr>
    </w:tbl>
    <w:p w14:paraId="773BCCE7">
      <w:pPr>
        <w:pStyle w:val="31"/>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7978988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1、对节能、环境标志产品计算价格扣除时，只依据电子投标（响应）文件“投标（响应）报价明细表”以及“优先类节能产品、环境标志产品证明材料（价格扣除适用，若有）。</w:t>
      </w:r>
    </w:p>
    <w:p w14:paraId="25A3E391">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2、本表以采购包为单位，不同采购包请分别填写；同一采购包请按照其品目号顺序分别填写。</w:t>
      </w:r>
    </w:p>
    <w:p w14:paraId="48994C0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3、具体统计、计算：</w:t>
      </w:r>
    </w:p>
    <w:p w14:paraId="28DC5A54">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3.1若同一采购包内的单个或多个货物取得或同时取得节能、环境标志产品等两项或多项认证的，均按照单个货物对应一项认证的原则统计、计算1次。</w:t>
      </w:r>
    </w:p>
    <w:p w14:paraId="7F41B670">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3.2计算结果若除不尽，可四舍五入保留到小数点后两位。</w:t>
      </w:r>
    </w:p>
    <w:p w14:paraId="543603E0">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3.3投标人(供应商)按照采购文件要求认真统计、计算。</w:t>
      </w:r>
    </w:p>
    <w:p w14:paraId="6D14E9FA">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3.4若无节能、环境标志产品，不填写本表。</w:t>
      </w:r>
    </w:p>
    <w:p w14:paraId="4F81A5BC">
      <w:pPr>
        <w:pStyle w:val="31"/>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3.5强制类节能产品不享受价格扣除。</w:t>
      </w:r>
    </w:p>
    <w:p w14:paraId="460C8BBB">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7A68A695">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14:paraId="0004B7A6">
      <w:pPr>
        <w:pStyle w:val="31"/>
        <w:widowControl w:val="0"/>
        <w:spacing w:line="440" w:lineRule="exact"/>
        <w:jc w:val="center"/>
        <w:outlineLvl w:val="0"/>
        <w:rPr>
          <w:rFonts w:ascii="宋体" w:hAnsi="宋体" w:eastAsia="宋体" w:cs="宋体"/>
          <w:b/>
          <w:color w:val="auto"/>
          <w:sz w:val="24"/>
          <w:szCs w:val="24"/>
          <w:highlight w:val="none"/>
        </w:rPr>
        <w:sectPr>
          <w:pgSz w:w="11906" w:h="16838"/>
          <w:pgMar w:top="1417" w:right="1417" w:bottom="1417" w:left="1417" w:header="851" w:footer="992" w:gutter="0"/>
          <w:cols w:space="0" w:num="1"/>
          <w:rtlGutter w:val="0"/>
          <w:docGrid w:type="lines" w:linePitch="312" w:charSpace="0"/>
        </w:sectPr>
      </w:pPr>
    </w:p>
    <w:p w14:paraId="7D17595D">
      <w:pPr>
        <w:pStyle w:val="31"/>
        <w:widowControl w:val="0"/>
        <w:spacing w:line="440" w:lineRule="exact"/>
        <w:jc w:val="center"/>
        <w:outlineLvl w:val="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w:t>
      </w:r>
      <w:r>
        <w:rPr>
          <w:rFonts w:hint="eastAsia" w:ascii="宋体" w:hAnsi="宋体" w:eastAsia="宋体" w:cs="宋体"/>
          <w:b/>
          <w:color w:val="auto"/>
          <w:sz w:val="24"/>
          <w:szCs w:val="24"/>
          <w:highlight w:val="none"/>
          <w:lang w:val="en-US" w:eastAsia="zh-CN"/>
        </w:rPr>
        <w:t>8</w:t>
      </w:r>
      <w:r>
        <w:rPr>
          <w:rFonts w:ascii="宋体" w:hAnsi="宋体" w:eastAsia="宋体" w:cs="宋体"/>
          <w:b/>
          <w:color w:val="auto"/>
          <w:sz w:val="24"/>
          <w:szCs w:val="24"/>
          <w:highlight w:val="none"/>
        </w:rPr>
        <w:t xml:space="preserve"> 要求作为响应文件组成部分的其他内容（若有）</w:t>
      </w:r>
      <w:bookmarkEnd w:id="9"/>
    </w:p>
    <w:p w14:paraId="76C8BB6A">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14:paraId="5568A8BC">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14:paraId="59514BE6">
      <w:pPr>
        <w:pStyle w:val="31"/>
        <w:widowControl w:val="0"/>
        <w:spacing w:line="44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2、供应商根据自身实际情况编写有关资料包括如供应商单位简介、竞争性谈判文件要求提供或供应商</w:t>
      </w:r>
      <w:r>
        <w:rPr>
          <w:rFonts w:ascii="宋体" w:hAnsi="宋体" w:eastAsia="宋体" w:cs="宋体"/>
          <w:color w:val="auto"/>
          <w:sz w:val="24"/>
          <w:szCs w:val="24"/>
          <w:highlight w:val="none"/>
          <w:lang w:eastAsia="zh-CN"/>
        </w:rPr>
        <w:t>自己</w:t>
      </w:r>
      <w:r>
        <w:rPr>
          <w:rFonts w:ascii="宋体" w:hAnsi="宋体" w:eastAsia="宋体" w:cs="宋体"/>
          <w:color w:val="auto"/>
          <w:sz w:val="24"/>
          <w:szCs w:val="24"/>
          <w:highlight w:val="none"/>
        </w:rPr>
        <w:t>认为体现自身优势，需要补充说明的其它资料，格式自拟。</w:t>
      </w:r>
    </w:p>
    <w:p w14:paraId="65391B78">
      <w:pPr>
        <w:pStyle w:val="31"/>
        <w:widowControl w:val="0"/>
        <w:spacing w:line="440" w:lineRule="exact"/>
        <w:ind w:firstLine="480"/>
        <w:rPr>
          <w:rFonts w:hint="default" w:ascii="宋体" w:hAnsi="宋体" w:eastAsia="宋体" w:cs="宋体"/>
          <w:color w:val="auto"/>
          <w:sz w:val="24"/>
          <w:szCs w:val="24"/>
          <w:highlight w:val="none"/>
          <w:lang w:eastAsia="zh-CN"/>
        </w:rPr>
      </w:pPr>
    </w:p>
    <w:p w14:paraId="3EC3A409">
      <w:pPr>
        <w:pStyle w:val="31"/>
        <w:widowControl w:val="0"/>
        <w:spacing w:line="440" w:lineRule="exact"/>
        <w:ind w:firstLine="480"/>
        <w:rPr>
          <w:rFonts w:hint="default" w:ascii="宋体" w:hAnsi="宋体" w:eastAsia="宋体" w:cs="宋体"/>
          <w:color w:val="auto"/>
          <w:sz w:val="24"/>
          <w:szCs w:val="24"/>
          <w:highlight w:val="none"/>
          <w:lang w:eastAsia="zh-CN"/>
        </w:rPr>
      </w:pPr>
    </w:p>
    <w:p w14:paraId="515D7A3E">
      <w:pPr>
        <w:pStyle w:val="31"/>
        <w:widowControl w:val="0"/>
        <w:spacing w:line="440" w:lineRule="exact"/>
        <w:ind w:firstLine="480"/>
        <w:rPr>
          <w:rFonts w:hint="default" w:ascii="宋体" w:hAnsi="宋体" w:eastAsia="宋体" w:cs="宋体"/>
          <w:color w:val="auto"/>
          <w:sz w:val="24"/>
          <w:szCs w:val="24"/>
          <w:highlight w:val="none"/>
          <w:lang w:eastAsia="zh-CN"/>
        </w:rPr>
      </w:pPr>
    </w:p>
    <w:p w14:paraId="6B174F8A">
      <w:pPr>
        <w:pStyle w:val="31"/>
        <w:widowControl w:val="0"/>
        <w:spacing w:line="440" w:lineRule="exact"/>
        <w:ind w:firstLine="480"/>
        <w:rPr>
          <w:rFonts w:hint="default" w:ascii="宋体" w:hAnsi="宋体" w:eastAsia="宋体" w:cs="宋体"/>
          <w:color w:val="auto"/>
          <w:sz w:val="24"/>
          <w:szCs w:val="24"/>
          <w:highlight w:val="none"/>
          <w:lang w:eastAsia="zh-CN"/>
        </w:rPr>
      </w:pPr>
    </w:p>
    <w:p w14:paraId="7BBC94D9">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14:paraId="4283CB51">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14:paraId="68AEDB73">
      <w:pPr>
        <w:pStyle w:val="31"/>
        <w:widowControl w:val="0"/>
        <w:spacing w:line="44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decorative"/>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embedRegular r:id="rId1" w:fontKey="{9F0EBD2E-6270-482E-8AD4-BD449F24AA35}"/>
  </w:font>
  <w:font w:name="仿宋">
    <w:panose1 w:val="02010609060101010101"/>
    <w:charset w:val="86"/>
    <w:family w:val="auto"/>
    <w:pitch w:val="default"/>
    <w:sig w:usb0="800002BF" w:usb1="38CF7CFA" w:usb2="00000016" w:usb3="00000000" w:csb0="00040001" w:csb1="00000000"/>
    <w:embedRegular r:id="rId2" w:fontKey="{160DA025-AE22-44AE-B10B-91C05CDA3162}"/>
  </w:font>
  <w:font w:name="微软雅黑">
    <w:panose1 w:val="020B0503020204020204"/>
    <w:charset w:val="86"/>
    <w:family w:val="auto"/>
    <w:pitch w:val="default"/>
    <w:sig w:usb0="80000287" w:usb1="2ACF3C50" w:usb2="00000016" w:usb3="00000000" w:csb0="0004001F" w:csb1="00000000"/>
    <w:embedRegular r:id="rId3" w:fontKey="{442116A6-8F2F-4894-8B0D-CF98E7F485C5}"/>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100C">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F3D68">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9F3D68">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883E98"/>
    <w:multiLevelType w:val="singleLevel"/>
    <w:tmpl w:val="BF883E98"/>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wYWUxYzAyNjk4M2NhNjI4MDk2NGNlMDUzYWRkNDAifQ=="/>
  </w:docVars>
  <w:rsids>
    <w:rsidRoot w:val="00172A27"/>
    <w:rsid w:val="000056CB"/>
    <w:rsid w:val="00087CDD"/>
    <w:rsid w:val="000F12F0"/>
    <w:rsid w:val="00172A27"/>
    <w:rsid w:val="001841EA"/>
    <w:rsid w:val="001843C5"/>
    <w:rsid w:val="001B282E"/>
    <w:rsid w:val="0022561B"/>
    <w:rsid w:val="002F3E2D"/>
    <w:rsid w:val="00313FAD"/>
    <w:rsid w:val="00350456"/>
    <w:rsid w:val="0035531B"/>
    <w:rsid w:val="0036015D"/>
    <w:rsid w:val="0038595E"/>
    <w:rsid w:val="0039095A"/>
    <w:rsid w:val="003B7A3B"/>
    <w:rsid w:val="00442A9C"/>
    <w:rsid w:val="00455057"/>
    <w:rsid w:val="004D374E"/>
    <w:rsid w:val="005079B1"/>
    <w:rsid w:val="00565AB3"/>
    <w:rsid w:val="005B621C"/>
    <w:rsid w:val="00616582"/>
    <w:rsid w:val="00693CE8"/>
    <w:rsid w:val="006C4D96"/>
    <w:rsid w:val="00734E64"/>
    <w:rsid w:val="00746440"/>
    <w:rsid w:val="00750430"/>
    <w:rsid w:val="00754563"/>
    <w:rsid w:val="00796A70"/>
    <w:rsid w:val="007E3051"/>
    <w:rsid w:val="00804250"/>
    <w:rsid w:val="00826E75"/>
    <w:rsid w:val="00875CE1"/>
    <w:rsid w:val="008B44A5"/>
    <w:rsid w:val="008D3A6F"/>
    <w:rsid w:val="00941545"/>
    <w:rsid w:val="009544AC"/>
    <w:rsid w:val="00971B1A"/>
    <w:rsid w:val="009A1629"/>
    <w:rsid w:val="009C0AA1"/>
    <w:rsid w:val="009E2FF6"/>
    <w:rsid w:val="00A16F7D"/>
    <w:rsid w:val="00AA4A33"/>
    <w:rsid w:val="00AF6157"/>
    <w:rsid w:val="00B1324D"/>
    <w:rsid w:val="00B2289C"/>
    <w:rsid w:val="00B342D2"/>
    <w:rsid w:val="00B52690"/>
    <w:rsid w:val="00C121F9"/>
    <w:rsid w:val="00C20661"/>
    <w:rsid w:val="00C62917"/>
    <w:rsid w:val="00CB6345"/>
    <w:rsid w:val="00CB6DF0"/>
    <w:rsid w:val="00CE6400"/>
    <w:rsid w:val="00D118F5"/>
    <w:rsid w:val="00D16022"/>
    <w:rsid w:val="00DA0296"/>
    <w:rsid w:val="00DB0933"/>
    <w:rsid w:val="00DE07A9"/>
    <w:rsid w:val="00DF66FF"/>
    <w:rsid w:val="00E0346E"/>
    <w:rsid w:val="00E04A87"/>
    <w:rsid w:val="00E40C1A"/>
    <w:rsid w:val="00E7650C"/>
    <w:rsid w:val="00EC42DE"/>
    <w:rsid w:val="00ED0FB8"/>
    <w:rsid w:val="00EE0082"/>
    <w:rsid w:val="00F22522"/>
    <w:rsid w:val="00F374D4"/>
    <w:rsid w:val="00F640DD"/>
    <w:rsid w:val="00F76139"/>
    <w:rsid w:val="00FB1E5C"/>
    <w:rsid w:val="00FC6B69"/>
    <w:rsid w:val="00FE3E28"/>
    <w:rsid w:val="010D6BBC"/>
    <w:rsid w:val="01C525AF"/>
    <w:rsid w:val="02097D16"/>
    <w:rsid w:val="02750329"/>
    <w:rsid w:val="02DA1F3A"/>
    <w:rsid w:val="02F6624B"/>
    <w:rsid w:val="032A1114"/>
    <w:rsid w:val="03373831"/>
    <w:rsid w:val="03A056EA"/>
    <w:rsid w:val="03AA58F1"/>
    <w:rsid w:val="03C36E72"/>
    <w:rsid w:val="03DE1785"/>
    <w:rsid w:val="03E0673A"/>
    <w:rsid w:val="03EB12B8"/>
    <w:rsid w:val="040976D4"/>
    <w:rsid w:val="0417503D"/>
    <w:rsid w:val="045B70AB"/>
    <w:rsid w:val="04751B9E"/>
    <w:rsid w:val="048E66B8"/>
    <w:rsid w:val="04964EF6"/>
    <w:rsid w:val="04BA64C7"/>
    <w:rsid w:val="04D53301"/>
    <w:rsid w:val="050375E0"/>
    <w:rsid w:val="05322502"/>
    <w:rsid w:val="05704DD8"/>
    <w:rsid w:val="05B40D8D"/>
    <w:rsid w:val="05BB793A"/>
    <w:rsid w:val="05C37FC8"/>
    <w:rsid w:val="05D34A5B"/>
    <w:rsid w:val="05DE1D42"/>
    <w:rsid w:val="05F3515E"/>
    <w:rsid w:val="067803E8"/>
    <w:rsid w:val="068B56C2"/>
    <w:rsid w:val="06A25B33"/>
    <w:rsid w:val="06A765D7"/>
    <w:rsid w:val="06F51FCD"/>
    <w:rsid w:val="06FB38D2"/>
    <w:rsid w:val="070752C8"/>
    <w:rsid w:val="07176BCD"/>
    <w:rsid w:val="072575E9"/>
    <w:rsid w:val="076D5EE2"/>
    <w:rsid w:val="081A6DA4"/>
    <w:rsid w:val="081B54CF"/>
    <w:rsid w:val="082C4FE6"/>
    <w:rsid w:val="0840235A"/>
    <w:rsid w:val="088A506D"/>
    <w:rsid w:val="091C14FF"/>
    <w:rsid w:val="09476526"/>
    <w:rsid w:val="096154CC"/>
    <w:rsid w:val="099A0675"/>
    <w:rsid w:val="099F0D58"/>
    <w:rsid w:val="09F86029"/>
    <w:rsid w:val="0A0855DF"/>
    <w:rsid w:val="0A496C6B"/>
    <w:rsid w:val="0AE67FD1"/>
    <w:rsid w:val="0B5A10BF"/>
    <w:rsid w:val="0B99235E"/>
    <w:rsid w:val="0BAD28E2"/>
    <w:rsid w:val="0BB61EAD"/>
    <w:rsid w:val="0C0E7474"/>
    <w:rsid w:val="0C1069CD"/>
    <w:rsid w:val="0C187749"/>
    <w:rsid w:val="0C4126E4"/>
    <w:rsid w:val="0C4C683D"/>
    <w:rsid w:val="0C6C00A7"/>
    <w:rsid w:val="0C782EF0"/>
    <w:rsid w:val="0CC42114"/>
    <w:rsid w:val="0CEA36C2"/>
    <w:rsid w:val="0D091D9A"/>
    <w:rsid w:val="0D705975"/>
    <w:rsid w:val="0D7124F2"/>
    <w:rsid w:val="0DE37E10"/>
    <w:rsid w:val="0DF814C0"/>
    <w:rsid w:val="0E146C48"/>
    <w:rsid w:val="0E19425F"/>
    <w:rsid w:val="0E26697C"/>
    <w:rsid w:val="0EC924BD"/>
    <w:rsid w:val="0EF96170"/>
    <w:rsid w:val="0F3D1628"/>
    <w:rsid w:val="0F47724E"/>
    <w:rsid w:val="0F53629B"/>
    <w:rsid w:val="0F6E05DA"/>
    <w:rsid w:val="0FBF4742"/>
    <w:rsid w:val="0FDF5034"/>
    <w:rsid w:val="100F3563"/>
    <w:rsid w:val="10354C54"/>
    <w:rsid w:val="104B3744"/>
    <w:rsid w:val="109773C6"/>
    <w:rsid w:val="10E12D53"/>
    <w:rsid w:val="10EE0C32"/>
    <w:rsid w:val="11132824"/>
    <w:rsid w:val="111F404A"/>
    <w:rsid w:val="11610DAE"/>
    <w:rsid w:val="11950C1D"/>
    <w:rsid w:val="11BC7BEB"/>
    <w:rsid w:val="11F50B3F"/>
    <w:rsid w:val="128F5FC2"/>
    <w:rsid w:val="12A0472A"/>
    <w:rsid w:val="12B05686"/>
    <w:rsid w:val="133A3ECC"/>
    <w:rsid w:val="134C29E0"/>
    <w:rsid w:val="135A5154"/>
    <w:rsid w:val="13964A7F"/>
    <w:rsid w:val="13A22600"/>
    <w:rsid w:val="13AB1901"/>
    <w:rsid w:val="13C0470E"/>
    <w:rsid w:val="13F13588"/>
    <w:rsid w:val="144E7166"/>
    <w:rsid w:val="14531B4D"/>
    <w:rsid w:val="14730D99"/>
    <w:rsid w:val="14B45915"/>
    <w:rsid w:val="1534197E"/>
    <w:rsid w:val="15A02976"/>
    <w:rsid w:val="15A54B7A"/>
    <w:rsid w:val="15C61FEA"/>
    <w:rsid w:val="15DE18EA"/>
    <w:rsid w:val="15E05A31"/>
    <w:rsid w:val="15E72E94"/>
    <w:rsid w:val="1602382A"/>
    <w:rsid w:val="164D719B"/>
    <w:rsid w:val="164F32FA"/>
    <w:rsid w:val="167D7355"/>
    <w:rsid w:val="16BD4B17"/>
    <w:rsid w:val="16EB2510"/>
    <w:rsid w:val="170D06D9"/>
    <w:rsid w:val="17416D43"/>
    <w:rsid w:val="17455CC3"/>
    <w:rsid w:val="17680005"/>
    <w:rsid w:val="177F50ED"/>
    <w:rsid w:val="17935082"/>
    <w:rsid w:val="17B26E1F"/>
    <w:rsid w:val="17CC4756"/>
    <w:rsid w:val="182066C2"/>
    <w:rsid w:val="18504D21"/>
    <w:rsid w:val="186E164B"/>
    <w:rsid w:val="19067AD5"/>
    <w:rsid w:val="19082B4C"/>
    <w:rsid w:val="193B7CAA"/>
    <w:rsid w:val="193C52A5"/>
    <w:rsid w:val="193C6C6F"/>
    <w:rsid w:val="19C86A17"/>
    <w:rsid w:val="19D76C78"/>
    <w:rsid w:val="1A037030"/>
    <w:rsid w:val="1A3F089A"/>
    <w:rsid w:val="1ABA5CD9"/>
    <w:rsid w:val="1ABC2346"/>
    <w:rsid w:val="1AF5204E"/>
    <w:rsid w:val="1B0D0CA7"/>
    <w:rsid w:val="1B1177A6"/>
    <w:rsid w:val="1B283DCB"/>
    <w:rsid w:val="1B746F78"/>
    <w:rsid w:val="1B770817"/>
    <w:rsid w:val="1B777312"/>
    <w:rsid w:val="1B9F7541"/>
    <w:rsid w:val="1BA67A06"/>
    <w:rsid w:val="1BA8182B"/>
    <w:rsid w:val="1BDA0FD3"/>
    <w:rsid w:val="1C2838BF"/>
    <w:rsid w:val="1C325426"/>
    <w:rsid w:val="1C56042C"/>
    <w:rsid w:val="1C84143D"/>
    <w:rsid w:val="1CA9376E"/>
    <w:rsid w:val="1CAB47D7"/>
    <w:rsid w:val="1CE617B0"/>
    <w:rsid w:val="1D4562D1"/>
    <w:rsid w:val="1D4604A0"/>
    <w:rsid w:val="1D4A0263"/>
    <w:rsid w:val="1D5E7060"/>
    <w:rsid w:val="1D8A52D2"/>
    <w:rsid w:val="1DA02C6F"/>
    <w:rsid w:val="1DC144E7"/>
    <w:rsid w:val="1DCF3716"/>
    <w:rsid w:val="1DD45D5D"/>
    <w:rsid w:val="1DDA6E3B"/>
    <w:rsid w:val="1DF330CF"/>
    <w:rsid w:val="1E48636A"/>
    <w:rsid w:val="1E4A5D6E"/>
    <w:rsid w:val="1E75777C"/>
    <w:rsid w:val="1E9350CE"/>
    <w:rsid w:val="1EB12291"/>
    <w:rsid w:val="1EBC1DFB"/>
    <w:rsid w:val="1F0F6B35"/>
    <w:rsid w:val="1F114ADE"/>
    <w:rsid w:val="1F65493E"/>
    <w:rsid w:val="1F724122"/>
    <w:rsid w:val="1F913970"/>
    <w:rsid w:val="1FF838E6"/>
    <w:rsid w:val="200F74AF"/>
    <w:rsid w:val="201A614D"/>
    <w:rsid w:val="202F7B49"/>
    <w:rsid w:val="208146EF"/>
    <w:rsid w:val="209A25CE"/>
    <w:rsid w:val="20AC0F62"/>
    <w:rsid w:val="20D10954"/>
    <w:rsid w:val="20E30711"/>
    <w:rsid w:val="211465C8"/>
    <w:rsid w:val="215313DE"/>
    <w:rsid w:val="2177202B"/>
    <w:rsid w:val="218E31C3"/>
    <w:rsid w:val="21B225A8"/>
    <w:rsid w:val="21B26104"/>
    <w:rsid w:val="22010626"/>
    <w:rsid w:val="22132664"/>
    <w:rsid w:val="222A1161"/>
    <w:rsid w:val="22372C4A"/>
    <w:rsid w:val="22515E63"/>
    <w:rsid w:val="22561186"/>
    <w:rsid w:val="2257329E"/>
    <w:rsid w:val="22773D7A"/>
    <w:rsid w:val="22B673C3"/>
    <w:rsid w:val="22CC769A"/>
    <w:rsid w:val="22D323B0"/>
    <w:rsid w:val="22D9209E"/>
    <w:rsid w:val="22E70030"/>
    <w:rsid w:val="22F33582"/>
    <w:rsid w:val="23447230"/>
    <w:rsid w:val="236D42CA"/>
    <w:rsid w:val="23957A8C"/>
    <w:rsid w:val="23A67239"/>
    <w:rsid w:val="23D1331D"/>
    <w:rsid w:val="240C4267"/>
    <w:rsid w:val="24686E21"/>
    <w:rsid w:val="24E76A0D"/>
    <w:rsid w:val="24E86068"/>
    <w:rsid w:val="24F11E38"/>
    <w:rsid w:val="25113A8A"/>
    <w:rsid w:val="251D242F"/>
    <w:rsid w:val="2568593A"/>
    <w:rsid w:val="259326F1"/>
    <w:rsid w:val="25DC7BF4"/>
    <w:rsid w:val="25DF1492"/>
    <w:rsid w:val="26125AAC"/>
    <w:rsid w:val="26170C2C"/>
    <w:rsid w:val="26261D99"/>
    <w:rsid w:val="263D30A0"/>
    <w:rsid w:val="26887D7C"/>
    <w:rsid w:val="26A30712"/>
    <w:rsid w:val="26CD39E1"/>
    <w:rsid w:val="270D0281"/>
    <w:rsid w:val="272A22E2"/>
    <w:rsid w:val="273F1D71"/>
    <w:rsid w:val="274676FC"/>
    <w:rsid w:val="280D6853"/>
    <w:rsid w:val="285223EF"/>
    <w:rsid w:val="288B76AF"/>
    <w:rsid w:val="28C55C55"/>
    <w:rsid w:val="28C8445F"/>
    <w:rsid w:val="296B4543"/>
    <w:rsid w:val="2996630C"/>
    <w:rsid w:val="29CB23A0"/>
    <w:rsid w:val="29DD03DE"/>
    <w:rsid w:val="29E74DB9"/>
    <w:rsid w:val="2A306760"/>
    <w:rsid w:val="2A4F1336"/>
    <w:rsid w:val="2A563950"/>
    <w:rsid w:val="2A574690"/>
    <w:rsid w:val="2A606996"/>
    <w:rsid w:val="2A930A9D"/>
    <w:rsid w:val="2AF07C9E"/>
    <w:rsid w:val="2AF86B9B"/>
    <w:rsid w:val="2B216346"/>
    <w:rsid w:val="2B406E77"/>
    <w:rsid w:val="2B4F0E68"/>
    <w:rsid w:val="2B6C5576"/>
    <w:rsid w:val="2BB145C2"/>
    <w:rsid w:val="2BC35FF1"/>
    <w:rsid w:val="2BD94D8B"/>
    <w:rsid w:val="2BF758D5"/>
    <w:rsid w:val="2C0F19C1"/>
    <w:rsid w:val="2C464480"/>
    <w:rsid w:val="2C81364F"/>
    <w:rsid w:val="2CB2345D"/>
    <w:rsid w:val="2CB36C7F"/>
    <w:rsid w:val="2D5E11CC"/>
    <w:rsid w:val="2D5E1836"/>
    <w:rsid w:val="2DCD2E1D"/>
    <w:rsid w:val="2DED14DD"/>
    <w:rsid w:val="2DFE3A09"/>
    <w:rsid w:val="2E0C1292"/>
    <w:rsid w:val="2E393F82"/>
    <w:rsid w:val="2E3A195C"/>
    <w:rsid w:val="2E4D203A"/>
    <w:rsid w:val="2E5569B4"/>
    <w:rsid w:val="2E753EFA"/>
    <w:rsid w:val="2EB01C1E"/>
    <w:rsid w:val="2EF97B62"/>
    <w:rsid w:val="2F422728"/>
    <w:rsid w:val="2F5944B8"/>
    <w:rsid w:val="2F6852A8"/>
    <w:rsid w:val="2F8C268B"/>
    <w:rsid w:val="2FCA587D"/>
    <w:rsid w:val="30073ABF"/>
    <w:rsid w:val="300824F2"/>
    <w:rsid w:val="30474804"/>
    <w:rsid w:val="30766E97"/>
    <w:rsid w:val="309877C1"/>
    <w:rsid w:val="309F63EE"/>
    <w:rsid w:val="30AC6FC3"/>
    <w:rsid w:val="30C220DC"/>
    <w:rsid w:val="30DB5C2D"/>
    <w:rsid w:val="31070794"/>
    <w:rsid w:val="312F3C61"/>
    <w:rsid w:val="313308E4"/>
    <w:rsid w:val="31454E58"/>
    <w:rsid w:val="31F44517"/>
    <w:rsid w:val="31FD73B7"/>
    <w:rsid w:val="320427A1"/>
    <w:rsid w:val="320C0503"/>
    <w:rsid w:val="320F5623"/>
    <w:rsid w:val="324200BE"/>
    <w:rsid w:val="32786EF6"/>
    <w:rsid w:val="328C4750"/>
    <w:rsid w:val="32B51032"/>
    <w:rsid w:val="32EF1979"/>
    <w:rsid w:val="32F60913"/>
    <w:rsid w:val="3357233B"/>
    <w:rsid w:val="337A6C9E"/>
    <w:rsid w:val="338152EA"/>
    <w:rsid w:val="33884F17"/>
    <w:rsid w:val="33977850"/>
    <w:rsid w:val="339F04B3"/>
    <w:rsid w:val="33B57CD6"/>
    <w:rsid w:val="33CC7804"/>
    <w:rsid w:val="34290EFB"/>
    <w:rsid w:val="34441F2F"/>
    <w:rsid w:val="345B0173"/>
    <w:rsid w:val="345B6AD0"/>
    <w:rsid w:val="3461229E"/>
    <w:rsid w:val="34931DC5"/>
    <w:rsid w:val="34F32864"/>
    <w:rsid w:val="353F3CFB"/>
    <w:rsid w:val="35450F16"/>
    <w:rsid w:val="35D408E8"/>
    <w:rsid w:val="362F04D8"/>
    <w:rsid w:val="36463C3A"/>
    <w:rsid w:val="36E37EAC"/>
    <w:rsid w:val="375A7D60"/>
    <w:rsid w:val="376E6A29"/>
    <w:rsid w:val="37B22A25"/>
    <w:rsid w:val="37B940D1"/>
    <w:rsid w:val="37BF2ED1"/>
    <w:rsid w:val="381E1F3B"/>
    <w:rsid w:val="381F1BC2"/>
    <w:rsid w:val="38673C95"/>
    <w:rsid w:val="387A7FC6"/>
    <w:rsid w:val="388C65B4"/>
    <w:rsid w:val="38F66E7C"/>
    <w:rsid w:val="39272CBF"/>
    <w:rsid w:val="395D0BF4"/>
    <w:rsid w:val="39FE2C78"/>
    <w:rsid w:val="3A033549"/>
    <w:rsid w:val="3A213CED"/>
    <w:rsid w:val="3A7A7612"/>
    <w:rsid w:val="3AB61099"/>
    <w:rsid w:val="3B053EBD"/>
    <w:rsid w:val="3B2A7683"/>
    <w:rsid w:val="3B5D6995"/>
    <w:rsid w:val="3BDC7C28"/>
    <w:rsid w:val="3BDE4255"/>
    <w:rsid w:val="3BE866AB"/>
    <w:rsid w:val="3BF84C04"/>
    <w:rsid w:val="3C0D753E"/>
    <w:rsid w:val="3C1D60C2"/>
    <w:rsid w:val="3C495460"/>
    <w:rsid w:val="3C4D51BE"/>
    <w:rsid w:val="3C53008C"/>
    <w:rsid w:val="3C862210"/>
    <w:rsid w:val="3C972852"/>
    <w:rsid w:val="3CB274A9"/>
    <w:rsid w:val="3CD964B6"/>
    <w:rsid w:val="3D141097"/>
    <w:rsid w:val="3D2C1009"/>
    <w:rsid w:val="3D4B7FA1"/>
    <w:rsid w:val="3D793B23"/>
    <w:rsid w:val="3D926A8C"/>
    <w:rsid w:val="3D9D471E"/>
    <w:rsid w:val="3DE75DB7"/>
    <w:rsid w:val="3DF4158B"/>
    <w:rsid w:val="3E173243"/>
    <w:rsid w:val="3E4D3D8F"/>
    <w:rsid w:val="3E78464D"/>
    <w:rsid w:val="3EA34308"/>
    <w:rsid w:val="3ED92ACB"/>
    <w:rsid w:val="3EDE7B8A"/>
    <w:rsid w:val="3EEF6A08"/>
    <w:rsid w:val="3F2A1578"/>
    <w:rsid w:val="3F3D74FE"/>
    <w:rsid w:val="3F6B55BF"/>
    <w:rsid w:val="3FCC6AD3"/>
    <w:rsid w:val="3FD12F31"/>
    <w:rsid w:val="3FF57DD8"/>
    <w:rsid w:val="40531D4F"/>
    <w:rsid w:val="40980764"/>
    <w:rsid w:val="40DC2D46"/>
    <w:rsid w:val="41583960"/>
    <w:rsid w:val="415B3C6B"/>
    <w:rsid w:val="4162149D"/>
    <w:rsid w:val="418D7F41"/>
    <w:rsid w:val="41AC00A7"/>
    <w:rsid w:val="41C4742F"/>
    <w:rsid w:val="41D4272A"/>
    <w:rsid w:val="41F35CF6"/>
    <w:rsid w:val="423654AA"/>
    <w:rsid w:val="425B7C9B"/>
    <w:rsid w:val="427C77E8"/>
    <w:rsid w:val="42D33CD5"/>
    <w:rsid w:val="42F14333"/>
    <w:rsid w:val="43686B13"/>
    <w:rsid w:val="436F7EA2"/>
    <w:rsid w:val="43AC6A00"/>
    <w:rsid w:val="43B12268"/>
    <w:rsid w:val="43CC1E5B"/>
    <w:rsid w:val="43D1290A"/>
    <w:rsid w:val="44012D76"/>
    <w:rsid w:val="44136A7F"/>
    <w:rsid w:val="444B6B51"/>
    <w:rsid w:val="448B0D0B"/>
    <w:rsid w:val="450534E7"/>
    <w:rsid w:val="451467E3"/>
    <w:rsid w:val="45625E7E"/>
    <w:rsid w:val="45702958"/>
    <w:rsid w:val="45B647D5"/>
    <w:rsid w:val="45E02E2E"/>
    <w:rsid w:val="46115240"/>
    <w:rsid w:val="463D7DE3"/>
    <w:rsid w:val="46421487"/>
    <w:rsid w:val="46B324F7"/>
    <w:rsid w:val="46E8675D"/>
    <w:rsid w:val="46FE3A51"/>
    <w:rsid w:val="471F573B"/>
    <w:rsid w:val="47370CD6"/>
    <w:rsid w:val="478C62CE"/>
    <w:rsid w:val="479223B1"/>
    <w:rsid w:val="47F06DB8"/>
    <w:rsid w:val="47FB61A8"/>
    <w:rsid w:val="480C3F11"/>
    <w:rsid w:val="48612B19"/>
    <w:rsid w:val="492434DC"/>
    <w:rsid w:val="49423962"/>
    <w:rsid w:val="4954504D"/>
    <w:rsid w:val="49594DB3"/>
    <w:rsid w:val="496B2BA7"/>
    <w:rsid w:val="4A031344"/>
    <w:rsid w:val="4A077577"/>
    <w:rsid w:val="4AB443EC"/>
    <w:rsid w:val="4B1462CF"/>
    <w:rsid w:val="4B1B64F7"/>
    <w:rsid w:val="4B1F03FF"/>
    <w:rsid w:val="4B5F5063"/>
    <w:rsid w:val="4BE34F89"/>
    <w:rsid w:val="4C285091"/>
    <w:rsid w:val="4C5129FA"/>
    <w:rsid w:val="4C6726C0"/>
    <w:rsid w:val="4C8A75CA"/>
    <w:rsid w:val="4CEE7FC3"/>
    <w:rsid w:val="4D2C0BB1"/>
    <w:rsid w:val="4D597F6B"/>
    <w:rsid w:val="4D6267AE"/>
    <w:rsid w:val="4DB1767E"/>
    <w:rsid w:val="4DD0778F"/>
    <w:rsid w:val="4DDB6FF8"/>
    <w:rsid w:val="4DDF049A"/>
    <w:rsid w:val="4DFA0534"/>
    <w:rsid w:val="4E5F1C74"/>
    <w:rsid w:val="4E6B144B"/>
    <w:rsid w:val="4E9C54ED"/>
    <w:rsid w:val="4EB91190"/>
    <w:rsid w:val="4ECA2430"/>
    <w:rsid w:val="4EE94FAC"/>
    <w:rsid w:val="4F0911AA"/>
    <w:rsid w:val="4F5538C5"/>
    <w:rsid w:val="4F642884"/>
    <w:rsid w:val="4F98252E"/>
    <w:rsid w:val="4FBE49E6"/>
    <w:rsid w:val="4FD75A35"/>
    <w:rsid w:val="4FDA12BD"/>
    <w:rsid w:val="4FDA45FD"/>
    <w:rsid w:val="4FDD43E5"/>
    <w:rsid w:val="4FF9121F"/>
    <w:rsid w:val="500E158E"/>
    <w:rsid w:val="501A2F43"/>
    <w:rsid w:val="50666188"/>
    <w:rsid w:val="50837108"/>
    <w:rsid w:val="50837FEC"/>
    <w:rsid w:val="508D6CA0"/>
    <w:rsid w:val="50D67E83"/>
    <w:rsid w:val="50E7376D"/>
    <w:rsid w:val="50E7551B"/>
    <w:rsid w:val="5144296E"/>
    <w:rsid w:val="515F09E3"/>
    <w:rsid w:val="5170401B"/>
    <w:rsid w:val="517A073C"/>
    <w:rsid w:val="51960CEF"/>
    <w:rsid w:val="51A4340C"/>
    <w:rsid w:val="51B977CF"/>
    <w:rsid w:val="52CB7B8C"/>
    <w:rsid w:val="52E71802"/>
    <w:rsid w:val="52F5184E"/>
    <w:rsid w:val="532145E9"/>
    <w:rsid w:val="532E3616"/>
    <w:rsid w:val="5334431C"/>
    <w:rsid w:val="533B7DA0"/>
    <w:rsid w:val="53B52B8D"/>
    <w:rsid w:val="53BB67EB"/>
    <w:rsid w:val="53C02053"/>
    <w:rsid w:val="53D74CEC"/>
    <w:rsid w:val="540C65EF"/>
    <w:rsid w:val="544F1528"/>
    <w:rsid w:val="54997C8E"/>
    <w:rsid w:val="54D73AF9"/>
    <w:rsid w:val="54EC395C"/>
    <w:rsid w:val="55100491"/>
    <w:rsid w:val="554D6059"/>
    <w:rsid w:val="55803A09"/>
    <w:rsid w:val="55B453F8"/>
    <w:rsid w:val="5651119B"/>
    <w:rsid w:val="56CD51B3"/>
    <w:rsid w:val="56DE116E"/>
    <w:rsid w:val="56EE19B2"/>
    <w:rsid w:val="571D3C57"/>
    <w:rsid w:val="573B2A5C"/>
    <w:rsid w:val="57542FCC"/>
    <w:rsid w:val="576F0018"/>
    <w:rsid w:val="579A4839"/>
    <w:rsid w:val="57DA7B88"/>
    <w:rsid w:val="57E722A5"/>
    <w:rsid w:val="581A34CE"/>
    <w:rsid w:val="58333220"/>
    <w:rsid w:val="583A1C6E"/>
    <w:rsid w:val="58474AF1"/>
    <w:rsid w:val="58705DF6"/>
    <w:rsid w:val="587753D7"/>
    <w:rsid w:val="58850427"/>
    <w:rsid w:val="58BA4D46"/>
    <w:rsid w:val="58BB20DD"/>
    <w:rsid w:val="58BE3005"/>
    <w:rsid w:val="58D15F71"/>
    <w:rsid w:val="59416A10"/>
    <w:rsid w:val="595219A0"/>
    <w:rsid w:val="59965FE5"/>
    <w:rsid w:val="59CA59DA"/>
    <w:rsid w:val="5A19111B"/>
    <w:rsid w:val="5AB726C0"/>
    <w:rsid w:val="5AB75F5E"/>
    <w:rsid w:val="5AC4067B"/>
    <w:rsid w:val="5AED1980"/>
    <w:rsid w:val="5B0B62AA"/>
    <w:rsid w:val="5B527A35"/>
    <w:rsid w:val="5B5419FF"/>
    <w:rsid w:val="5B750EEC"/>
    <w:rsid w:val="5B8B1199"/>
    <w:rsid w:val="5BAA1C16"/>
    <w:rsid w:val="5BB51330"/>
    <w:rsid w:val="5BD835D1"/>
    <w:rsid w:val="5C0F1DCA"/>
    <w:rsid w:val="5C1001F4"/>
    <w:rsid w:val="5C3E7FB9"/>
    <w:rsid w:val="5C421276"/>
    <w:rsid w:val="5CED474D"/>
    <w:rsid w:val="5CF44849"/>
    <w:rsid w:val="5D2A6796"/>
    <w:rsid w:val="5D4B5084"/>
    <w:rsid w:val="5D4D6972"/>
    <w:rsid w:val="5D683540"/>
    <w:rsid w:val="5E024EFA"/>
    <w:rsid w:val="5E0A4BE5"/>
    <w:rsid w:val="5E3C677A"/>
    <w:rsid w:val="5E522294"/>
    <w:rsid w:val="5E8200C9"/>
    <w:rsid w:val="5F0E6C4B"/>
    <w:rsid w:val="5F0F5C7B"/>
    <w:rsid w:val="5F115F4D"/>
    <w:rsid w:val="5F1F2324"/>
    <w:rsid w:val="5F2913F5"/>
    <w:rsid w:val="5F5C0E82"/>
    <w:rsid w:val="5F677827"/>
    <w:rsid w:val="5F6F542F"/>
    <w:rsid w:val="5FA16DF0"/>
    <w:rsid w:val="5FC56EB7"/>
    <w:rsid w:val="60200102"/>
    <w:rsid w:val="602D281F"/>
    <w:rsid w:val="60757D87"/>
    <w:rsid w:val="608648D5"/>
    <w:rsid w:val="60A9459B"/>
    <w:rsid w:val="60AB34EB"/>
    <w:rsid w:val="60C2740B"/>
    <w:rsid w:val="616B35FF"/>
    <w:rsid w:val="617D3332"/>
    <w:rsid w:val="61A466ED"/>
    <w:rsid w:val="61A71080"/>
    <w:rsid w:val="61FC1B2C"/>
    <w:rsid w:val="62373E29"/>
    <w:rsid w:val="623F020D"/>
    <w:rsid w:val="62612C54"/>
    <w:rsid w:val="627E61C1"/>
    <w:rsid w:val="629953C2"/>
    <w:rsid w:val="62A93654"/>
    <w:rsid w:val="62CE6B29"/>
    <w:rsid w:val="639C2195"/>
    <w:rsid w:val="639F57E1"/>
    <w:rsid w:val="639F5C86"/>
    <w:rsid w:val="63F000A8"/>
    <w:rsid w:val="64151F48"/>
    <w:rsid w:val="64191C5A"/>
    <w:rsid w:val="642D7FAE"/>
    <w:rsid w:val="643E071B"/>
    <w:rsid w:val="645962D8"/>
    <w:rsid w:val="649D6F8C"/>
    <w:rsid w:val="64E9765C"/>
    <w:rsid w:val="65266571"/>
    <w:rsid w:val="655B398A"/>
    <w:rsid w:val="655E1EE9"/>
    <w:rsid w:val="65717652"/>
    <w:rsid w:val="65917811"/>
    <w:rsid w:val="65B23EF2"/>
    <w:rsid w:val="65D65D70"/>
    <w:rsid w:val="6602118C"/>
    <w:rsid w:val="66053BEC"/>
    <w:rsid w:val="66280E41"/>
    <w:rsid w:val="66285DEF"/>
    <w:rsid w:val="66336214"/>
    <w:rsid w:val="6660394E"/>
    <w:rsid w:val="667457F0"/>
    <w:rsid w:val="66EE54EB"/>
    <w:rsid w:val="67414DAC"/>
    <w:rsid w:val="677D5E3A"/>
    <w:rsid w:val="67847FCF"/>
    <w:rsid w:val="67915D89"/>
    <w:rsid w:val="6796423A"/>
    <w:rsid w:val="67B81568"/>
    <w:rsid w:val="67ED2FDE"/>
    <w:rsid w:val="68190258"/>
    <w:rsid w:val="68345141"/>
    <w:rsid w:val="68395F2F"/>
    <w:rsid w:val="688E6EB7"/>
    <w:rsid w:val="68945B31"/>
    <w:rsid w:val="689E075E"/>
    <w:rsid w:val="68C33D20"/>
    <w:rsid w:val="68CB664F"/>
    <w:rsid w:val="691602F4"/>
    <w:rsid w:val="6949691B"/>
    <w:rsid w:val="695A7C3A"/>
    <w:rsid w:val="69635503"/>
    <w:rsid w:val="697C0BB1"/>
    <w:rsid w:val="69AC2A06"/>
    <w:rsid w:val="69BF098B"/>
    <w:rsid w:val="6A335B37"/>
    <w:rsid w:val="6A3E1AC7"/>
    <w:rsid w:val="6A5F216E"/>
    <w:rsid w:val="6A6E5F0E"/>
    <w:rsid w:val="6A723EEF"/>
    <w:rsid w:val="6AC77447"/>
    <w:rsid w:val="6AFA2A1A"/>
    <w:rsid w:val="6B737C7F"/>
    <w:rsid w:val="6BC8789F"/>
    <w:rsid w:val="6BD745FA"/>
    <w:rsid w:val="6BF95CAB"/>
    <w:rsid w:val="6BFD22BB"/>
    <w:rsid w:val="6C43220C"/>
    <w:rsid w:val="6C543DC6"/>
    <w:rsid w:val="6C627DDB"/>
    <w:rsid w:val="6C82159C"/>
    <w:rsid w:val="6C871509"/>
    <w:rsid w:val="6CBF6EF4"/>
    <w:rsid w:val="6D2F5E28"/>
    <w:rsid w:val="6D441802"/>
    <w:rsid w:val="6D4C218E"/>
    <w:rsid w:val="6D500274"/>
    <w:rsid w:val="6D645085"/>
    <w:rsid w:val="6D660588"/>
    <w:rsid w:val="6D7B5B8E"/>
    <w:rsid w:val="6D7D1F79"/>
    <w:rsid w:val="6D887E22"/>
    <w:rsid w:val="6DA17C32"/>
    <w:rsid w:val="6DB93944"/>
    <w:rsid w:val="6DE13DAD"/>
    <w:rsid w:val="6DFB5D0A"/>
    <w:rsid w:val="6DFF1310"/>
    <w:rsid w:val="6E2C2368"/>
    <w:rsid w:val="6E2C42F0"/>
    <w:rsid w:val="6E375822"/>
    <w:rsid w:val="6E5478D1"/>
    <w:rsid w:val="6E5D69C5"/>
    <w:rsid w:val="6E7C2943"/>
    <w:rsid w:val="6E7F6652"/>
    <w:rsid w:val="6EAD16FA"/>
    <w:rsid w:val="6EDA6B78"/>
    <w:rsid w:val="6EFA0228"/>
    <w:rsid w:val="6F6E659D"/>
    <w:rsid w:val="6F974FB6"/>
    <w:rsid w:val="6FA7317C"/>
    <w:rsid w:val="6FAF6E64"/>
    <w:rsid w:val="6FE729EA"/>
    <w:rsid w:val="7027728A"/>
    <w:rsid w:val="702A34E3"/>
    <w:rsid w:val="703A1840"/>
    <w:rsid w:val="70862203"/>
    <w:rsid w:val="708F27DD"/>
    <w:rsid w:val="709022E3"/>
    <w:rsid w:val="70CE7706"/>
    <w:rsid w:val="71202F6F"/>
    <w:rsid w:val="71314FBC"/>
    <w:rsid w:val="716F0EE9"/>
    <w:rsid w:val="71724535"/>
    <w:rsid w:val="71DC5E53"/>
    <w:rsid w:val="72077373"/>
    <w:rsid w:val="722011CE"/>
    <w:rsid w:val="7231619E"/>
    <w:rsid w:val="72872262"/>
    <w:rsid w:val="72BE0C37"/>
    <w:rsid w:val="72CE1C3F"/>
    <w:rsid w:val="7337539E"/>
    <w:rsid w:val="735465E8"/>
    <w:rsid w:val="736A3FFF"/>
    <w:rsid w:val="73AC323E"/>
    <w:rsid w:val="73E20130"/>
    <w:rsid w:val="73F90F3E"/>
    <w:rsid w:val="73FB4CB6"/>
    <w:rsid w:val="73FC0072"/>
    <w:rsid w:val="74055B35"/>
    <w:rsid w:val="740632D4"/>
    <w:rsid w:val="7416564C"/>
    <w:rsid w:val="7478067A"/>
    <w:rsid w:val="74E73B18"/>
    <w:rsid w:val="75596138"/>
    <w:rsid w:val="75C44782"/>
    <w:rsid w:val="75D05DF7"/>
    <w:rsid w:val="762D4ECF"/>
    <w:rsid w:val="76433F4E"/>
    <w:rsid w:val="76A51BA6"/>
    <w:rsid w:val="76A9124A"/>
    <w:rsid w:val="76C07AF1"/>
    <w:rsid w:val="76D67314"/>
    <w:rsid w:val="771742FB"/>
    <w:rsid w:val="772269FE"/>
    <w:rsid w:val="774E15A1"/>
    <w:rsid w:val="774E7E25"/>
    <w:rsid w:val="77642B72"/>
    <w:rsid w:val="777D1E86"/>
    <w:rsid w:val="77905715"/>
    <w:rsid w:val="77CC60A6"/>
    <w:rsid w:val="77D2250B"/>
    <w:rsid w:val="77E51370"/>
    <w:rsid w:val="77F79321"/>
    <w:rsid w:val="78233B31"/>
    <w:rsid w:val="78333989"/>
    <w:rsid w:val="7840538D"/>
    <w:rsid w:val="784A6593"/>
    <w:rsid w:val="789E6192"/>
    <w:rsid w:val="78EB50DC"/>
    <w:rsid w:val="78F46178"/>
    <w:rsid w:val="795409C4"/>
    <w:rsid w:val="79912890"/>
    <w:rsid w:val="79FC3AAC"/>
    <w:rsid w:val="7A210A51"/>
    <w:rsid w:val="7A7973E3"/>
    <w:rsid w:val="7A840728"/>
    <w:rsid w:val="7ABD0F17"/>
    <w:rsid w:val="7AE83ABA"/>
    <w:rsid w:val="7B01565B"/>
    <w:rsid w:val="7B24209E"/>
    <w:rsid w:val="7B252618"/>
    <w:rsid w:val="7B3F141C"/>
    <w:rsid w:val="7B4E23A0"/>
    <w:rsid w:val="7B5178B1"/>
    <w:rsid w:val="7B9A6B62"/>
    <w:rsid w:val="7BFF65E3"/>
    <w:rsid w:val="7C1873ED"/>
    <w:rsid w:val="7C2A1172"/>
    <w:rsid w:val="7C3F770A"/>
    <w:rsid w:val="7C655D5E"/>
    <w:rsid w:val="7C8E1643"/>
    <w:rsid w:val="7D1D3381"/>
    <w:rsid w:val="7D2174B0"/>
    <w:rsid w:val="7D2A48EC"/>
    <w:rsid w:val="7D3D1E9B"/>
    <w:rsid w:val="7D4D587E"/>
    <w:rsid w:val="7D7A39D5"/>
    <w:rsid w:val="7D7E3A47"/>
    <w:rsid w:val="7D87748A"/>
    <w:rsid w:val="7DF31DD7"/>
    <w:rsid w:val="7E056136"/>
    <w:rsid w:val="7E0E1A8A"/>
    <w:rsid w:val="7E2E557B"/>
    <w:rsid w:val="7E3A462D"/>
    <w:rsid w:val="7E4162E3"/>
    <w:rsid w:val="7E5E5C24"/>
    <w:rsid w:val="7E7E09BD"/>
    <w:rsid w:val="7EAA3560"/>
    <w:rsid w:val="7EDC182D"/>
    <w:rsid w:val="7F091CA6"/>
    <w:rsid w:val="7F10538E"/>
    <w:rsid w:val="7F315A30"/>
    <w:rsid w:val="7F3437BD"/>
    <w:rsid w:val="7F381431"/>
    <w:rsid w:val="7F3C58F3"/>
    <w:rsid w:val="7F50369F"/>
    <w:rsid w:val="7F9C6FA2"/>
    <w:rsid w:val="7FB34697"/>
    <w:rsid w:val="7FE37A15"/>
    <w:rsid w:val="7FF07699"/>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jc w:val="center"/>
      <w:outlineLvl w:val="0"/>
    </w:pPr>
    <w:rPr>
      <w:rFonts w:eastAsia="黑体"/>
      <w:b/>
      <w:kern w:val="44"/>
      <w:sz w:val="36"/>
    </w:rPr>
  </w:style>
  <w:style w:type="paragraph" w:styleId="3">
    <w:name w:val="heading 2"/>
    <w:basedOn w:val="1"/>
    <w:next w:val="1"/>
    <w:unhideWhenUsed/>
    <w:qFormat/>
    <w:uiPriority w:val="0"/>
    <w:pPr>
      <w:keepNext/>
      <w:keepLines/>
      <w:spacing w:line="360" w:lineRule="auto"/>
      <w:jc w:val="center"/>
      <w:outlineLvl w:val="1"/>
    </w:pPr>
    <w:rPr>
      <w:rFonts w:ascii="Arial" w:hAnsi="Arial" w:eastAsia="黑体" w:cs="Times New Roman"/>
      <w:b/>
      <w:sz w:val="30"/>
    </w:rPr>
  </w:style>
  <w:style w:type="paragraph" w:styleId="4">
    <w:name w:val="heading 3"/>
    <w:basedOn w:val="1"/>
    <w:next w:val="1"/>
    <w:qFormat/>
    <w:uiPriority w:val="0"/>
    <w:pPr>
      <w:keepNext/>
      <w:keepLines/>
      <w:spacing w:before="40" w:after="40" w:line="360" w:lineRule="auto"/>
      <w:outlineLvl w:val="2"/>
    </w:pPr>
    <w:rPr>
      <w:rFonts w:ascii="Times New Roman" w:hAnsi="Times New Roman" w:eastAsia="宋体"/>
      <w:bCs/>
      <w:sz w:val="28"/>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Document Map"/>
    <w:basedOn w:val="1"/>
    <w:next w:val="1"/>
    <w:unhideWhenUsed/>
    <w:qFormat/>
    <w:uiPriority w:val="99"/>
    <w:rPr>
      <w:rFonts w:ascii="宋体"/>
      <w:sz w:val="18"/>
      <w:szCs w:val="18"/>
    </w:rPr>
  </w:style>
  <w:style w:type="paragraph" w:styleId="6">
    <w:name w:val="annotation text"/>
    <w:basedOn w:val="1"/>
    <w:link w:val="44"/>
    <w:qFormat/>
    <w:uiPriority w:val="0"/>
    <w:pPr>
      <w:jc w:val="left"/>
    </w:pPr>
  </w:style>
  <w:style w:type="paragraph" w:styleId="7">
    <w:name w:val="Body Text"/>
    <w:basedOn w:val="1"/>
    <w:next w:val="1"/>
    <w:qFormat/>
    <w:uiPriority w:val="0"/>
    <w:pPr>
      <w:spacing w:line="380" w:lineRule="atLeast"/>
    </w:pPr>
    <w:rPr>
      <w:rFonts w:ascii="Times New Roman" w:hAnsi="Times New Roman"/>
    </w:rPr>
  </w:style>
  <w:style w:type="paragraph" w:styleId="8">
    <w:name w:val="Body Text Indent"/>
    <w:basedOn w:val="1"/>
    <w:next w:val="1"/>
    <w:qFormat/>
    <w:uiPriority w:val="0"/>
    <w:pPr>
      <w:spacing w:line="360" w:lineRule="auto"/>
      <w:ind w:firstLine="525"/>
    </w:pPr>
    <w:rPr>
      <w:rFonts w:ascii="宋体" w:hAnsi="宋体"/>
      <w:sz w:val="24"/>
      <w:szCs w:val="21"/>
    </w:rPr>
  </w:style>
  <w:style w:type="paragraph" w:styleId="9">
    <w:name w:val="Plain Text"/>
    <w:basedOn w:val="1"/>
    <w:qFormat/>
    <w:uiPriority w:val="0"/>
    <w:rPr>
      <w:rFonts w:ascii="宋体" w:hAnsi="Courier New"/>
      <w:szCs w:val="20"/>
    </w:rPr>
  </w:style>
  <w:style w:type="paragraph" w:styleId="10">
    <w:name w:val="Balloon Text"/>
    <w:basedOn w:val="1"/>
    <w:link w:val="43"/>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Body Text 2"/>
    <w:basedOn w:val="1"/>
    <w:qFormat/>
    <w:uiPriority w:val="0"/>
    <w:pPr>
      <w:spacing w:line="480" w:lineRule="auto"/>
    </w:p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annotation subject"/>
    <w:basedOn w:val="6"/>
    <w:next w:val="6"/>
    <w:link w:val="45"/>
    <w:qFormat/>
    <w:uiPriority w:val="0"/>
    <w:rPr>
      <w:b/>
      <w:bCs/>
    </w:rPr>
  </w:style>
  <w:style w:type="paragraph" w:styleId="17">
    <w:name w:val="Body Text First Indent"/>
    <w:basedOn w:val="7"/>
    <w:next w:val="1"/>
    <w:qFormat/>
    <w:uiPriority w:val="0"/>
    <w:pPr>
      <w:spacing w:line="360" w:lineRule="auto"/>
      <w:ind w:firstLine="420"/>
    </w:pPr>
    <w:rPr>
      <w:rFonts w:ascii="宋体" w:hAnsi="宋体"/>
      <w:sz w:val="24"/>
    </w:rPr>
  </w:style>
  <w:style w:type="paragraph" w:styleId="18">
    <w:name w:val="Body Text First Indent 2"/>
    <w:basedOn w:val="8"/>
    <w:qFormat/>
    <w:uiPriority w:val="0"/>
    <w:pPr>
      <w:ind w:firstLine="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Emphasis"/>
    <w:basedOn w:val="21"/>
    <w:qFormat/>
    <w:uiPriority w:val="0"/>
    <w:rPr>
      <w:i/>
    </w:rPr>
  </w:style>
  <w:style w:type="character" w:styleId="24">
    <w:name w:val="Hyperlink"/>
    <w:basedOn w:val="21"/>
    <w:qFormat/>
    <w:uiPriority w:val="0"/>
    <w:rPr>
      <w:color w:val="0000FF"/>
      <w:u w:val="single"/>
    </w:rPr>
  </w:style>
  <w:style w:type="character" w:styleId="25">
    <w:name w:val="annotation reference"/>
    <w:basedOn w:val="21"/>
    <w:qFormat/>
    <w:uiPriority w:val="0"/>
    <w:rPr>
      <w:sz w:val="21"/>
      <w:szCs w:val="21"/>
    </w:rPr>
  </w:style>
  <w:style w:type="paragraph" w:customStyle="1" w:styleId="26">
    <w:name w:val="正文首行缩进 21"/>
    <w:basedOn w:val="27"/>
    <w:qFormat/>
    <w:uiPriority w:val="0"/>
    <w:pPr>
      <w:ind w:firstLine="420"/>
    </w:pPr>
  </w:style>
  <w:style w:type="paragraph" w:customStyle="1" w:styleId="27">
    <w:name w:val="正文文本缩进1"/>
    <w:basedOn w:val="1"/>
    <w:qFormat/>
    <w:uiPriority w:val="0"/>
    <w:pPr>
      <w:spacing w:line="500" w:lineRule="exact"/>
      <w:ind w:firstLine="880" w:firstLineChars="200"/>
    </w:pPr>
    <w:rPr>
      <w:rFonts w:ascii="Times New Roman" w:hAnsi="Times New Roman" w:eastAsia="宋体" w:cs="Times New Roman"/>
    </w:rPr>
  </w:style>
  <w:style w:type="paragraph" w:customStyle="1" w:styleId="28">
    <w:name w:val="Fließtext"/>
    <w:basedOn w:val="1"/>
    <w:qFormat/>
    <w:uiPriority w:val="0"/>
    <w:pPr>
      <w:overflowPunct w:val="0"/>
      <w:autoSpaceDE w:val="0"/>
      <w:autoSpaceDN w:val="0"/>
      <w:adjustRightInd w:val="0"/>
      <w:textAlignment w:val="baseline"/>
    </w:pPr>
    <w:rPr>
      <w:kern w:val="28"/>
      <w:szCs w:val="20"/>
    </w:rPr>
  </w:style>
  <w:style w:type="paragraph" w:customStyle="1" w:styleId="29">
    <w:name w:val="样式 标题 3 + (中文) 黑体 小四 非加粗 段前: 7.8 磅 段后: 0 磅 行距: 固定值 20 磅"/>
    <w:basedOn w:val="4"/>
    <w:qFormat/>
    <w:uiPriority w:val="99"/>
    <w:pPr>
      <w:tabs>
        <w:tab w:val="left" w:pos="425"/>
      </w:tabs>
      <w:spacing w:before="0" w:after="0" w:line="400" w:lineRule="exact"/>
    </w:pPr>
    <w:rPr>
      <w:rFonts w:eastAsia="黑体" w:cs="宋体"/>
      <w:sz w:val="24"/>
      <w:szCs w:val="20"/>
    </w:rPr>
  </w:style>
  <w:style w:type="paragraph" w:customStyle="1" w:styleId="30">
    <w:name w:val="表格文字"/>
    <w:basedOn w:val="1"/>
    <w:qFormat/>
    <w:uiPriority w:val="0"/>
    <w:pPr>
      <w:widowControl/>
      <w:spacing w:before="25" w:after="25"/>
      <w:jc w:val="left"/>
    </w:pPr>
    <w:rPr>
      <w:rFonts w:ascii="Times" w:hAnsi="Times"/>
      <w:bCs/>
      <w:spacing w:val="10"/>
      <w:kern w:val="0"/>
      <w:sz w:val="24"/>
      <w:szCs w:val="20"/>
    </w:rPr>
  </w:style>
  <w:style w:type="paragraph" w:customStyle="1" w:styleId="31">
    <w:name w:val="null3"/>
    <w:hidden/>
    <w:qFormat/>
    <w:uiPriority w:val="0"/>
    <w:rPr>
      <w:rFonts w:hint="eastAsia" w:asciiTheme="minorHAnsi" w:hAnsiTheme="minorHAnsi" w:eastAsiaTheme="minorEastAsia" w:cstheme="minorBidi"/>
      <w:lang w:val="en-US" w:eastAsia="zh-Hans" w:bidi="ar-SA"/>
    </w:rPr>
  </w:style>
  <w:style w:type="paragraph" w:styleId="32">
    <w:name w:val="List Paragraph"/>
    <w:basedOn w:val="1"/>
    <w:qFormat/>
    <w:uiPriority w:val="34"/>
    <w:pPr>
      <w:ind w:firstLine="420" w:firstLineChars="200"/>
    </w:pPr>
  </w:style>
  <w:style w:type="paragraph" w:customStyle="1" w:styleId="33">
    <w:name w:val="列出段落1"/>
    <w:basedOn w:val="1"/>
    <w:qFormat/>
    <w:uiPriority w:val="99"/>
    <w:pPr>
      <w:ind w:firstLine="420" w:firstLineChars="200"/>
    </w:pPr>
  </w:style>
  <w:style w:type="paragraph" w:customStyle="1" w:styleId="34">
    <w:name w:val="Body text|2"/>
    <w:basedOn w:val="1"/>
    <w:qFormat/>
    <w:uiPriority w:val="0"/>
    <w:pPr>
      <w:spacing w:after="180"/>
      <w:jc w:val="center"/>
    </w:pPr>
    <w:rPr>
      <w:rFonts w:ascii="宋体" w:hAnsi="宋体" w:eastAsia="宋体" w:cs="宋体"/>
      <w:sz w:val="30"/>
      <w:szCs w:val="30"/>
      <w:lang w:val="zh-TW" w:eastAsia="zh-TW" w:bidi="zh-TW"/>
    </w:rPr>
  </w:style>
  <w:style w:type="paragraph" w:customStyle="1" w:styleId="35">
    <w:name w:val="Body text|1"/>
    <w:basedOn w:val="1"/>
    <w:qFormat/>
    <w:uiPriority w:val="0"/>
    <w:pPr>
      <w:spacing w:line="413" w:lineRule="auto"/>
      <w:ind w:firstLine="400"/>
    </w:pPr>
    <w:rPr>
      <w:rFonts w:ascii="宋体" w:hAnsi="宋体" w:eastAsia="宋体" w:cs="宋体"/>
      <w:sz w:val="22"/>
      <w:szCs w:val="22"/>
      <w:lang w:val="zh-TW" w:eastAsia="zh-TW" w:bidi="zh-TW"/>
    </w:rPr>
  </w:style>
  <w:style w:type="paragraph" w:customStyle="1" w:styleId="36">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7">
    <w:name w:val="font51"/>
    <w:basedOn w:val="21"/>
    <w:qFormat/>
    <w:uiPriority w:val="0"/>
    <w:rPr>
      <w:rFonts w:hint="eastAsia" w:ascii="宋体" w:hAnsi="宋体" w:eastAsia="宋体" w:cs="宋体"/>
      <w:color w:val="000000"/>
      <w:sz w:val="20"/>
      <w:szCs w:val="20"/>
      <w:u w:val="none"/>
    </w:rPr>
  </w:style>
  <w:style w:type="character" w:customStyle="1" w:styleId="38">
    <w:name w:val="font41"/>
    <w:basedOn w:val="21"/>
    <w:qFormat/>
    <w:uiPriority w:val="0"/>
    <w:rPr>
      <w:rFonts w:hint="eastAsia" w:ascii="宋体" w:hAnsi="宋体" w:eastAsia="宋体" w:cs="宋体"/>
      <w:color w:val="000000"/>
      <w:sz w:val="20"/>
      <w:szCs w:val="20"/>
      <w:u w:val="none"/>
    </w:rPr>
  </w:style>
  <w:style w:type="character" w:customStyle="1" w:styleId="39">
    <w:name w:val="font31"/>
    <w:basedOn w:val="21"/>
    <w:qFormat/>
    <w:uiPriority w:val="0"/>
    <w:rPr>
      <w:rFonts w:hint="default" w:ascii="Times New Roman" w:hAnsi="Times New Roman" w:cs="Times New Roman"/>
      <w:color w:val="000000"/>
      <w:sz w:val="21"/>
      <w:szCs w:val="21"/>
      <w:u w:val="none"/>
    </w:rPr>
  </w:style>
  <w:style w:type="character" w:customStyle="1" w:styleId="40">
    <w:name w:val="font21"/>
    <w:basedOn w:val="21"/>
    <w:qFormat/>
    <w:uiPriority w:val="0"/>
    <w:rPr>
      <w:rFonts w:hint="eastAsia" w:ascii="宋体" w:hAnsi="宋体" w:eastAsia="宋体" w:cs="宋体"/>
      <w:color w:val="000000"/>
      <w:sz w:val="21"/>
      <w:szCs w:val="21"/>
      <w:u w:val="none"/>
    </w:rPr>
  </w:style>
  <w:style w:type="paragraph" w:customStyle="1" w:styleId="41">
    <w:name w:val="WPSOffice手动目录 1"/>
    <w:qFormat/>
    <w:uiPriority w:val="0"/>
    <w:rPr>
      <w:rFonts w:ascii="Times New Roman" w:hAnsi="Times New Roman" w:eastAsia="宋体" w:cs="Times New Roman"/>
      <w:lang w:val="en-US" w:eastAsia="zh-CN" w:bidi="ar-SA"/>
    </w:rPr>
  </w:style>
  <w:style w:type="character" w:customStyle="1" w:styleId="42">
    <w:name w:val="fontstyle01"/>
    <w:basedOn w:val="21"/>
    <w:qFormat/>
    <w:uiPriority w:val="0"/>
    <w:rPr>
      <w:rFonts w:hint="eastAsia" w:ascii="宋体" w:hAnsi="宋体" w:eastAsia="宋体"/>
      <w:color w:val="000000"/>
      <w:sz w:val="24"/>
      <w:szCs w:val="24"/>
    </w:rPr>
  </w:style>
  <w:style w:type="character" w:customStyle="1" w:styleId="43">
    <w:name w:val="批注框文本 字符"/>
    <w:basedOn w:val="21"/>
    <w:link w:val="10"/>
    <w:qFormat/>
    <w:uiPriority w:val="0"/>
    <w:rPr>
      <w:rFonts w:asciiTheme="minorHAnsi" w:hAnsiTheme="minorHAnsi" w:eastAsiaTheme="minorEastAsia" w:cstheme="minorBidi"/>
      <w:kern w:val="2"/>
      <w:sz w:val="18"/>
      <w:szCs w:val="18"/>
    </w:rPr>
  </w:style>
  <w:style w:type="character" w:customStyle="1" w:styleId="44">
    <w:name w:val="批注文字 字符"/>
    <w:basedOn w:val="21"/>
    <w:link w:val="6"/>
    <w:qFormat/>
    <w:uiPriority w:val="0"/>
    <w:rPr>
      <w:rFonts w:asciiTheme="minorHAnsi" w:hAnsiTheme="minorHAnsi" w:eastAsiaTheme="minorEastAsia" w:cstheme="minorBidi"/>
      <w:kern w:val="2"/>
      <w:sz w:val="21"/>
      <w:szCs w:val="24"/>
    </w:rPr>
  </w:style>
  <w:style w:type="character" w:customStyle="1" w:styleId="45">
    <w:name w:val="批注主题 字符"/>
    <w:basedOn w:val="44"/>
    <w:link w:val="1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101</Pages>
  <Words>17099</Words>
  <Characters>17940</Characters>
  <Lines>290</Lines>
  <Paragraphs>81</Paragraphs>
  <TotalTime>4</TotalTime>
  <ScaleCrop>false</ScaleCrop>
  <LinksUpToDate>false</LinksUpToDate>
  <CharactersWithSpaces>18041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2025-07-01T03:10:00Z</dcterms:created>
  <dc:creator>五块钱</dc:creator>
  <cp:lastModifiedBy>WPS</cp:lastModifiedBy>
  <cp:lastPrinted>2026-08-19T09:52:00Z</cp:lastPrinted>
  <dcterms:modified xsi:type="dcterms:W3CDTF">2026-10-22T05:34:27Z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9A36983725164A8BB67923D3E02E6E64</vt:lpwstr>
  </property>
  <property fmtid="{D5CDD505-2E9C-101B-9397-08002B2CF9AE}" pid="4" name="KSOTemplateDocerSaveRecord">
    <vt:lpwstr>eyJoZGlkIjoiNjMyOTE1Zjc4ZTVjMDRjOTUwOThiNTU3M2RlOTFhMWUiLCJ1c2VySWQiOiI1MTk5MzA2NjAifQ==</vt:lpwstr>
  </property>
</Properties>
</file>