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4866E">
      <w:pPr>
        <w:spacing w:line="312" w:lineRule="auto"/>
        <w:jc w:val="center"/>
        <w:rPr>
          <w:rFonts w:ascii="宋体" w:hAnsi="宋体" w:cs="宋体"/>
          <w:b/>
          <w:bCs/>
          <w:color w:val="0000FF"/>
          <w:sz w:val="72"/>
          <w:szCs w:val="72"/>
          <w:highlight w:val="none"/>
        </w:rPr>
      </w:pPr>
    </w:p>
    <w:p w14:paraId="433AB839">
      <w:pPr>
        <w:spacing w:line="312"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val="en-US" w:eastAsia="zh-CN"/>
        </w:rPr>
        <w:t>实达集团算力及AI Token资源服务采购项目</w:t>
      </w:r>
    </w:p>
    <w:p w14:paraId="0E0E39A5">
      <w:pPr>
        <w:spacing w:line="312"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框架协议采购</w:t>
      </w:r>
    </w:p>
    <w:p w14:paraId="638664A1">
      <w:pPr>
        <w:spacing w:line="312" w:lineRule="auto"/>
        <w:jc w:val="center"/>
        <w:rPr>
          <w:b/>
          <w:color w:val="auto"/>
          <w:sz w:val="72"/>
          <w:highlight w:val="none"/>
        </w:rPr>
      </w:pPr>
    </w:p>
    <w:p w14:paraId="205064F1">
      <w:pPr>
        <w:spacing w:line="312" w:lineRule="auto"/>
        <w:jc w:val="center"/>
        <w:rPr>
          <w:rFonts w:ascii="宋体" w:hAnsi="宋体" w:cs="宋体"/>
          <w:b/>
          <w:bCs/>
          <w:color w:val="auto"/>
          <w:kern w:val="44"/>
          <w:sz w:val="72"/>
          <w:szCs w:val="72"/>
          <w:highlight w:val="none"/>
          <w:lang w:val="en-GB"/>
        </w:rPr>
      </w:pPr>
      <w:r>
        <w:rPr>
          <w:b/>
          <w:color w:val="auto"/>
          <w:sz w:val="72"/>
          <w:highlight w:val="none"/>
        </w:rPr>
        <w:t>征 集 文 件</w:t>
      </w:r>
    </w:p>
    <w:p w14:paraId="4BC7ED18">
      <w:pPr>
        <w:spacing w:line="312" w:lineRule="auto"/>
        <w:jc w:val="center"/>
        <w:rPr>
          <w:rFonts w:ascii="宋体" w:hAnsi="宋体" w:cs="宋体"/>
          <w:b/>
          <w:bCs/>
          <w:color w:val="auto"/>
          <w:kern w:val="44"/>
          <w:sz w:val="24"/>
          <w:highlight w:val="none"/>
        </w:rPr>
      </w:pPr>
    </w:p>
    <w:p w14:paraId="04F98558">
      <w:pPr>
        <w:spacing w:line="312" w:lineRule="auto"/>
        <w:jc w:val="center"/>
        <w:rPr>
          <w:rFonts w:ascii="宋体" w:hAnsi="宋体" w:cs="宋体"/>
          <w:b/>
          <w:bCs/>
          <w:color w:val="auto"/>
          <w:sz w:val="32"/>
          <w:szCs w:val="32"/>
          <w:highlight w:val="none"/>
        </w:rPr>
      </w:pPr>
    </w:p>
    <w:p w14:paraId="6EA2CA79">
      <w:pPr>
        <w:adjustRightInd w:val="0"/>
        <w:snapToGrid w:val="0"/>
        <w:spacing w:line="360" w:lineRule="auto"/>
        <w:jc w:val="center"/>
        <w:rPr>
          <w:rFonts w:ascii="宋体" w:hAnsi="宋体" w:cs="宋体"/>
          <w:b/>
          <w:bCs/>
          <w:color w:val="auto"/>
          <w:sz w:val="36"/>
          <w:szCs w:val="36"/>
          <w:highlight w:val="none"/>
        </w:rPr>
      </w:pPr>
    </w:p>
    <w:p w14:paraId="234E922D">
      <w:pPr>
        <w:adjustRightInd w:val="0"/>
        <w:snapToGrid w:val="0"/>
        <w:spacing w:line="360" w:lineRule="auto"/>
        <w:jc w:val="center"/>
        <w:rPr>
          <w:rFonts w:ascii="宋体" w:hAnsi="宋体" w:cs="宋体"/>
          <w:b/>
          <w:bCs/>
          <w:color w:val="auto"/>
          <w:sz w:val="36"/>
          <w:szCs w:val="36"/>
          <w:highlight w:val="none"/>
        </w:rPr>
      </w:pPr>
    </w:p>
    <w:p w14:paraId="70D37EA0">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项目编号</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FJZC-KJ-2026-063</w:t>
      </w:r>
    </w:p>
    <w:p w14:paraId="01DE24DC">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实达集团算力及AI Token资源服务采购项目</w:t>
      </w:r>
    </w:p>
    <w:p w14:paraId="14879908">
      <w:pPr>
        <w:spacing w:line="312" w:lineRule="auto"/>
        <w:jc w:val="center"/>
        <w:rPr>
          <w:rFonts w:ascii="宋体" w:hAnsi="宋体" w:cs="宋体"/>
          <w:b/>
          <w:bCs/>
          <w:color w:val="auto"/>
          <w:sz w:val="32"/>
          <w:szCs w:val="32"/>
          <w:highlight w:val="none"/>
        </w:rPr>
      </w:pPr>
    </w:p>
    <w:p w14:paraId="7ECEE2AD">
      <w:pPr>
        <w:adjustRightInd w:val="0"/>
        <w:snapToGrid w:val="0"/>
        <w:spacing w:line="360" w:lineRule="auto"/>
        <w:jc w:val="center"/>
        <w:rPr>
          <w:rFonts w:ascii="宋体" w:hAnsi="宋体" w:cs="宋体"/>
          <w:b/>
          <w:bCs/>
          <w:color w:val="auto"/>
          <w:sz w:val="36"/>
          <w:szCs w:val="36"/>
          <w:highlight w:val="none"/>
        </w:rPr>
      </w:pPr>
    </w:p>
    <w:p w14:paraId="785D8910">
      <w:pPr>
        <w:rPr>
          <w:color w:val="auto"/>
          <w:highlight w:val="none"/>
        </w:rPr>
      </w:pPr>
    </w:p>
    <w:p w14:paraId="2EB4AEBD">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000000" w:themeColor="text1"/>
          <w:sz w:val="36"/>
          <w:szCs w:val="36"/>
          <w:highlight w:val="none"/>
          <w:lang w:eastAsia="zh-CN"/>
          <w14:textFill>
            <w14:solidFill>
              <w14:schemeClr w14:val="tx1"/>
            </w14:solidFill>
          </w14:textFill>
        </w:rPr>
        <w:t>采购人</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福建实达集团股份有限公司</w:t>
      </w:r>
    </w:p>
    <w:p w14:paraId="1A054883">
      <w:pPr>
        <w:adjustRightInd w:val="0"/>
        <w:snapToGrid w:val="0"/>
        <w:spacing w:line="360" w:lineRule="auto"/>
        <w:jc w:val="center"/>
        <w:rPr>
          <w:rFonts w:ascii="宋体" w:hAnsi="宋体" w:cs="宋体"/>
          <w:b/>
          <w:bCs/>
          <w:color w:val="auto"/>
          <w:kern w:val="44"/>
          <w:sz w:val="36"/>
          <w:szCs w:val="36"/>
          <w:highlight w:val="none"/>
        </w:rPr>
      </w:pPr>
      <w:r>
        <w:rPr>
          <w:rFonts w:hint="eastAsia" w:ascii="宋体" w:hAnsi="宋体" w:cs="宋体"/>
          <w:b/>
          <w:bCs/>
          <w:color w:val="000000" w:themeColor="text1"/>
          <w:sz w:val="36"/>
          <w:szCs w:val="36"/>
          <w:highlight w:val="none"/>
          <w:lang w:eastAsia="zh-CN"/>
          <w14:textFill>
            <w14:solidFill>
              <w14:schemeClr w14:val="tx1"/>
            </w14:solidFill>
          </w14:textFill>
        </w:rPr>
        <w:t>采购</w:t>
      </w:r>
      <w:r>
        <w:rPr>
          <w:rFonts w:hint="eastAsia" w:ascii="宋体" w:hAnsi="宋体" w:cs="宋体"/>
          <w:b/>
          <w:bCs/>
          <w:color w:val="auto"/>
          <w:sz w:val="36"/>
          <w:szCs w:val="36"/>
          <w:highlight w:val="none"/>
        </w:rPr>
        <w:t>代理公司：福建省卓诚招投标代理有限责任公司</w:t>
      </w:r>
    </w:p>
    <w:p w14:paraId="4A863EA6">
      <w:pPr>
        <w:adjustRightInd w:val="0"/>
        <w:snapToGrid w:val="0"/>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二0二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月</w:t>
      </w:r>
    </w:p>
    <w:p w14:paraId="62664F45">
      <w:pPr>
        <w:tabs>
          <w:tab w:val="right" w:leader="dot" w:pos="8778"/>
        </w:tabs>
        <w:adjustRightInd w:val="0"/>
        <w:spacing w:line="312" w:lineRule="auto"/>
        <w:ind w:firstLine="482" w:firstLineChars="200"/>
        <w:jc w:val="left"/>
        <w:textAlignment w:val="baseline"/>
        <w:rPr>
          <w:rFonts w:ascii="宋体" w:hAnsi="宋体" w:cs="宋体"/>
          <w:b/>
          <w:snapToGrid w:val="0"/>
          <w:color w:val="0000FF"/>
          <w:kern w:val="0"/>
          <w:sz w:val="24"/>
          <w:highlight w:val="none"/>
        </w:rPr>
        <w:sectPr>
          <w:headerReference r:id="rId5" w:type="first"/>
          <w:headerReference r:id="rId3" w:type="default"/>
          <w:headerReference r:id="rId4" w:type="even"/>
          <w:footerReference r:id="rId6" w:type="even"/>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261EBE9B">
      <w:pPr>
        <w:tabs>
          <w:tab w:val="right" w:leader="dot" w:pos="8778"/>
        </w:tabs>
        <w:adjustRightInd w:val="0"/>
        <w:spacing w:line="312" w:lineRule="auto"/>
        <w:jc w:val="center"/>
        <w:textAlignment w:val="baseline"/>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目    录</w:t>
      </w:r>
    </w:p>
    <w:p w14:paraId="62D75A9B">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 TOC \o "1-3" \h \z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_Toc3382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第一章 框架协议采购征集公告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_Toc3382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5F42E16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HYPERLINK \l _Toc6943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sz w:val="24"/>
          <w:szCs w:val="24"/>
          <w:highlight w:val="none"/>
        </w:rPr>
        <w:t>一、框架协议采购征集公告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_Toc6943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auto"/>
          <w:sz w:val="24"/>
          <w:szCs w:val="24"/>
          <w:highlight w:val="none"/>
        </w:rPr>
        <w:fldChar w:fldCharType="end"/>
      </w:r>
    </w:p>
    <w:p w14:paraId="3C978977">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_Toc14707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 xml:space="preserve">第二章 </w:t>
      </w:r>
      <w:r>
        <w:rPr>
          <w:rFonts w:hint="eastAsia" w:asciiTheme="minorEastAsia" w:hAnsiTheme="minorEastAsia" w:eastAsiaTheme="minorEastAsia" w:cstheme="minorEastAsia"/>
          <w:b/>
          <w:bCs/>
          <w:sz w:val="24"/>
          <w:szCs w:val="24"/>
          <w:highlight w:val="none"/>
          <w:lang w:eastAsia="zh-CN"/>
        </w:rPr>
        <w:t>服务商</w:t>
      </w:r>
      <w:r>
        <w:rPr>
          <w:rFonts w:hint="eastAsia" w:asciiTheme="minorEastAsia" w:hAnsiTheme="minorEastAsia" w:eastAsiaTheme="minorEastAsia" w:cstheme="minorEastAsia"/>
          <w:b/>
          <w:bCs/>
          <w:sz w:val="24"/>
          <w:szCs w:val="24"/>
          <w:highlight w:val="none"/>
        </w:rPr>
        <w:t>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_Toc14707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7B073322">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_Toc24639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服务商</w:t>
      </w:r>
      <w:r>
        <w:rPr>
          <w:rFonts w:hint="eastAsia" w:asciiTheme="minorEastAsia" w:hAnsiTheme="minorEastAsia" w:eastAsiaTheme="minorEastAsia" w:cstheme="minorEastAsia"/>
          <w:bCs/>
          <w:color w:val="auto"/>
          <w:sz w:val="24"/>
          <w:szCs w:val="24"/>
          <w:highlight w:val="none"/>
        </w:rPr>
        <w:t>须知前附表</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_Toc24639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6DC122C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_Toc6324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一、说   明</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_Toc6324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DDC171D">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_Toc4659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二、</w:t>
      </w:r>
      <w:r>
        <w:rPr>
          <w:rFonts w:hint="eastAsia" w:asciiTheme="minorEastAsia" w:hAnsiTheme="minorEastAsia" w:eastAsiaTheme="minorEastAsia" w:cstheme="minorEastAsia"/>
          <w:bCs/>
          <w:color w:val="auto"/>
          <w:sz w:val="24"/>
          <w:szCs w:val="24"/>
          <w:highlight w:val="none"/>
          <w:lang w:eastAsia="zh-CN"/>
        </w:rPr>
        <w:t>征集文件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_Toc4659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7</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F4AF7B9">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三、</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的编写</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7</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249ECDF3">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_Toc6304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四、</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的递交</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_Toc6304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8</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2F03744">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_Toc1899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五、</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的评估和比较</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_Toc1899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8</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BF0C9C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_Toc13508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六、定标与签订合同</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_Toc13508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9</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C7B7040">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_Toc10810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 xml:space="preserve">第三章 </w:t>
      </w:r>
      <w:r>
        <w:rPr>
          <w:rFonts w:hint="eastAsia" w:asciiTheme="minorEastAsia" w:hAnsiTheme="minorEastAsia" w:eastAsiaTheme="minorEastAsia" w:cstheme="minorEastAsia"/>
          <w:b/>
          <w:bCs/>
          <w:sz w:val="24"/>
          <w:szCs w:val="24"/>
          <w:highlight w:val="none"/>
          <w:lang w:eastAsia="zh-CN"/>
        </w:rPr>
        <w:t>征集内容及要求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_Toc10810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30ADAC5">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_Toc20811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一、项目概述</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_Toc20811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29C4765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_Toc1521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二、征集内容</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_Toc1521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BC7EE5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_Toc27107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技术和服务要求</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_Toc27107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12</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5B0875B">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_Toc31245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商务条件</w:t>
      </w:r>
      <w:r>
        <w:rPr>
          <w:rFonts w:hint="eastAsia" w:asciiTheme="minorEastAsia" w:hAnsiTheme="minorEastAsia" w:eastAsiaTheme="minorEastAsia" w:cstheme="minorEastAsia"/>
          <w:bCs/>
          <w:color w:val="auto"/>
          <w:sz w:val="24"/>
          <w:szCs w:val="24"/>
          <w:highlight w:val="none"/>
          <w:lang w:eastAsia="zh-CN"/>
        </w:rPr>
        <w:t>（标段一至</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_Toc31245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D97EB0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_Toc4218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五、</w:t>
      </w:r>
      <w:r>
        <w:rPr>
          <w:rFonts w:hint="eastAsia" w:asciiTheme="minorEastAsia" w:hAnsiTheme="minorEastAsia" w:eastAsiaTheme="minorEastAsia" w:cstheme="minorEastAsia"/>
          <w:bCs/>
          <w:color w:val="auto"/>
          <w:sz w:val="24"/>
          <w:szCs w:val="24"/>
          <w:highlight w:val="none"/>
        </w:rPr>
        <w:t>不可抗力</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_Toc4218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1386F9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_Toc18341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六、附件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_Toc18341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A100E73">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_Toc9406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eastAsia="zh-CN"/>
        </w:rPr>
        <w:t>四</w:t>
      </w:r>
      <w:r>
        <w:rPr>
          <w:rFonts w:hint="eastAsia" w:asciiTheme="minorEastAsia" w:hAnsiTheme="minorEastAsia" w:eastAsiaTheme="minorEastAsia" w:cstheme="minorEastAsia"/>
          <w:b/>
          <w:bCs/>
          <w:sz w:val="24"/>
          <w:szCs w:val="24"/>
          <w:highlight w:val="none"/>
        </w:rPr>
        <w:t xml:space="preserve">章 </w:t>
      </w:r>
      <w:r>
        <w:rPr>
          <w:rFonts w:hint="eastAsia" w:asciiTheme="minorEastAsia" w:hAnsiTheme="minorEastAsia" w:eastAsiaTheme="minorEastAsia" w:cstheme="minorEastAsia"/>
          <w:b/>
          <w:bCs/>
          <w:sz w:val="24"/>
          <w:szCs w:val="24"/>
          <w:highlight w:val="none"/>
          <w:lang w:eastAsia="zh-CN"/>
        </w:rPr>
        <w:t>申请文件</w:t>
      </w:r>
      <w:r>
        <w:rPr>
          <w:rFonts w:hint="eastAsia" w:asciiTheme="minorEastAsia" w:hAnsiTheme="minorEastAsia" w:eastAsiaTheme="minorEastAsia" w:cstheme="minorEastAsia"/>
          <w:b/>
          <w:bCs/>
          <w:sz w:val="24"/>
          <w:szCs w:val="24"/>
          <w:highlight w:val="none"/>
        </w:rPr>
        <w:t>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_Toc9406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6B2035B">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_Toc9534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申请</w:t>
      </w:r>
      <w:r>
        <w:rPr>
          <w:rFonts w:hint="eastAsia" w:asciiTheme="minorEastAsia" w:hAnsiTheme="minorEastAsia" w:eastAsiaTheme="minorEastAsia" w:cstheme="minorEastAsia"/>
          <w:bCs/>
          <w:color w:val="auto"/>
          <w:sz w:val="24"/>
          <w:szCs w:val="24"/>
          <w:highlight w:val="none"/>
        </w:rPr>
        <w:t>函</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_Toc9534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20</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4D16E72">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_Toc11607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二</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承诺</w:t>
      </w:r>
      <w:r>
        <w:rPr>
          <w:rFonts w:hint="eastAsia" w:asciiTheme="minorEastAsia" w:hAnsiTheme="minorEastAsia" w:eastAsiaTheme="minorEastAsia" w:cstheme="minorEastAsia"/>
          <w:bCs/>
          <w:color w:val="auto"/>
          <w:sz w:val="24"/>
          <w:szCs w:val="24"/>
          <w:highlight w:val="none"/>
        </w:rPr>
        <w:t>函</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_Toc11607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2CB5183">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_Toc16565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三</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服务商</w:t>
      </w:r>
      <w:r>
        <w:rPr>
          <w:rFonts w:hint="eastAsia" w:asciiTheme="minorEastAsia" w:hAnsiTheme="minorEastAsia" w:eastAsiaTheme="minorEastAsia" w:cstheme="minorEastAsia"/>
          <w:bCs/>
          <w:color w:val="auto"/>
          <w:sz w:val="24"/>
          <w:szCs w:val="24"/>
          <w:highlight w:val="none"/>
        </w:rPr>
        <w:t>的资格及资信证明文件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_Toc16565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22</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FD19D48">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_Toc27212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四、</w:t>
      </w:r>
      <w:r>
        <w:rPr>
          <w:rFonts w:hint="eastAsia" w:asciiTheme="minorEastAsia" w:hAnsiTheme="minorEastAsia" w:eastAsiaTheme="minorEastAsia" w:cstheme="minorEastAsia"/>
          <w:bCs/>
          <w:color w:val="auto"/>
          <w:sz w:val="24"/>
          <w:szCs w:val="24"/>
          <w:highlight w:val="none"/>
        </w:rPr>
        <w:t>偏离表</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_Toc27212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29</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3871C9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_Toc20065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五、服务商</w:t>
      </w:r>
      <w:r>
        <w:rPr>
          <w:rFonts w:hint="eastAsia" w:asciiTheme="minorEastAsia" w:hAnsiTheme="minorEastAsia" w:eastAsiaTheme="minorEastAsia" w:cstheme="minorEastAsia"/>
          <w:bCs/>
          <w:color w:val="auto"/>
          <w:sz w:val="24"/>
          <w:szCs w:val="24"/>
          <w:highlight w:val="none"/>
        </w:rPr>
        <w:t>提交的其它资料</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_Toc20065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30</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307E9AC">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150"/>
        <w:jc w:val="left"/>
        <w:textAlignment w:val="auto"/>
        <w:rPr>
          <w:rFonts w:ascii="宋体" w:hAnsi="宋体" w:cs="宋体"/>
          <w:color w:val="0000FF"/>
          <w:sz w:val="24"/>
          <w:highlight w:val="none"/>
        </w:rPr>
        <w:sectPr>
          <w:footerReference r:id="rId8" w:type="first"/>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titlePg/>
          <w:rtlGutter w:val="0"/>
          <w:docGrid w:type="lines" w:linePitch="318" w:charSpace="0"/>
        </w:sectPr>
      </w:pPr>
      <w:r>
        <w:rPr>
          <w:rFonts w:hint="eastAsia" w:asciiTheme="minorEastAsia" w:hAnsiTheme="minorEastAsia" w:eastAsiaTheme="minorEastAsia" w:cstheme="minorEastAsia"/>
          <w:bCs/>
          <w:color w:val="auto"/>
          <w:sz w:val="24"/>
          <w:szCs w:val="24"/>
          <w:highlight w:val="none"/>
        </w:rPr>
        <w:fldChar w:fldCharType="end"/>
      </w:r>
    </w:p>
    <w:p w14:paraId="59BDC4DE">
      <w:pPr>
        <w:spacing w:line="360" w:lineRule="auto"/>
        <w:jc w:val="center"/>
        <w:outlineLvl w:val="0"/>
        <w:rPr>
          <w:rFonts w:ascii="宋体" w:hAnsi="宋体" w:cs="宋体"/>
          <w:b/>
          <w:color w:val="auto"/>
          <w:sz w:val="44"/>
          <w:szCs w:val="44"/>
          <w:highlight w:val="none"/>
        </w:rPr>
      </w:pPr>
      <w:bookmarkStart w:id="0" w:name="_Toc3382"/>
      <w:bookmarkStart w:id="1" w:name="_Toc19858"/>
      <w:bookmarkStart w:id="2" w:name="_Toc22989"/>
      <w:r>
        <w:rPr>
          <w:rFonts w:hint="eastAsia" w:ascii="宋体" w:hAnsi="宋体" w:cs="宋体"/>
          <w:b/>
          <w:color w:val="auto"/>
          <w:sz w:val="44"/>
          <w:szCs w:val="44"/>
          <w:highlight w:val="none"/>
        </w:rPr>
        <w:t>第一章 框架协议采购征集公告</w:t>
      </w:r>
      <w:bookmarkEnd w:id="0"/>
      <w:bookmarkEnd w:id="1"/>
      <w:bookmarkEnd w:id="2"/>
    </w:p>
    <w:p w14:paraId="79869013">
      <w:pPr>
        <w:pStyle w:val="4"/>
        <w:numPr>
          <w:ilvl w:val="0"/>
          <w:numId w:val="0"/>
        </w:numPr>
        <w:spacing w:before="0" w:after="0" w:line="360" w:lineRule="auto"/>
        <w:rPr>
          <w:rFonts w:ascii="宋体" w:hAnsi="宋体" w:cs="宋体"/>
          <w:color w:val="auto"/>
          <w:sz w:val="32"/>
          <w:szCs w:val="32"/>
          <w:highlight w:val="none"/>
        </w:rPr>
      </w:pPr>
      <w:bookmarkStart w:id="3" w:name="_Toc29511"/>
      <w:bookmarkStart w:id="4" w:name="_Toc7817"/>
      <w:bookmarkStart w:id="5" w:name="_Toc6943"/>
      <w:bookmarkStart w:id="6" w:name="_Toc29118"/>
      <w:r>
        <w:rPr>
          <w:rFonts w:hint="eastAsia" w:ascii="宋体" w:hAnsi="宋体" w:cs="宋体"/>
          <w:color w:val="auto"/>
          <w:sz w:val="32"/>
          <w:szCs w:val="32"/>
          <w:highlight w:val="none"/>
        </w:rPr>
        <w:t>一、</w:t>
      </w:r>
      <w:bookmarkEnd w:id="3"/>
      <w:r>
        <w:rPr>
          <w:rFonts w:hint="eastAsia" w:ascii="宋体" w:hAnsi="宋体" w:cs="宋体"/>
          <w:color w:val="auto"/>
          <w:sz w:val="32"/>
          <w:szCs w:val="32"/>
          <w:highlight w:val="none"/>
        </w:rPr>
        <w:t>框架协议采购征集公告</w:t>
      </w:r>
      <w:bookmarkEnd w:id="4"/>
      <w:bookmarkEnd w:id="5"/>
      <w:bookmarkEnd w:id="6"/>
    </w:p>
    <w:p w14:paraId="2289E5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福建省卓诚招投标代理有限责任公司受</w:t>
      </w:r>
      <w:r>
        <w:rPr>
          <w:rFonts w:hint="eastAsia" w:asciiTheme="minorEastAsia" w:hAnsiTheme="minorEastAsia" w:eastAsiaTheme="minorEastAsia" w:cstheme="minorEastAsia"/>
          <w:color w:val="auto"/>
          <w:sz w:val="24"/>
          <w:szCs w:val="24"/>
          <w:highlight w:val="none"/>
          <w:lang w:eastAsia="zh-CN"/>
        </w:rPr>
        <w:t>福建实达集团股份有限公司</w:t>
      </w:r>
      <w:r>
        <w:rPr>
          <w:rFonts w:hint="eastAsia" w:asciiTheme="minorEastAsia" w:hAnsiTheme="minorEastAsia" w:eastAsiaTheme="minorEastAsia" w:cstheme="minorEastAsia"/>
          <w:color w:val="auto"/>
          <w:sz w:val="24"/>
          <w:szCs w:val="24"/>
          <w:highlight w:val="none"/>
        </w:rPr>
        <w:t>委托，对</w:t>
      </w: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w:t>
      </w:r>
      <w:r>
        <w:rPr>
          <w:rFonts w:hint="eastAsia" w:asciiTheme="minorEastAsia" w:hAnsiTheme="minorEastAsia" w:eastAsiaTheme="minorEastAsia" w:cstheme="minorEastAsia"/>
          <w:color w:val="auto"/>
          <w:sz w:val="24"/>
          <w:szCs w:val="24"/>
          <w:highlight w:val="none"/>
          <w:lang w:eastAsia="zh-CN"/>
        </w:rPr>
        <w:t>采用开放式框架协议采购的方式公开征集入围服务商。现邀请满足采购需求且接受框架协议条件的潜在服务商提交申请文件</w:t>
      </w:r>
      <w:r>
        <w:rPr>
          <w:rFonts w:hint="eastAsia" w:asciiTheme="minorEastAsia" w:hAnsiTheme="minorEastAsia" w:eastAsiaTheme="minorEastAsia" w:cstheme="minorEastAsia"/>
          <w:color w:val="auto"/>
          <w:sz w:val="24"/>
          <w:szCs w:val="24"/>
          <w:highlight w:val="none"/>
        </w:rPr>
        <w:t>。</w:t>
      </w:r>
    </w:p>
    <w:p w14:paraId="6FEDD4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一、项目编号：FJZC-KJ-2026-063</w:t>
      </w:r>
    </w:p>
    <w:p w14:paraId="5CC0DD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征集范围</w:t>
      </w:r>
      <w:r>
        <w:rPr>
          <w:rFonts w:hint="eastAsia" w:asciiTheme="minorEastAsia" w:hAnsiTheme="minorEastAsia" w:eastAsiaTheme="minorEastAsia" w:cstheme="minorEastAsia"/>
          <w:color w:val="auto"/>
          <w:sz w:val="24"/>
          <w:szCs w:val="24"/>
          <w:highlight w:val="none"/>
        </w:rPr>
        <w:t>：具体</w:t>
      </w:r>
      <w:r>
        <w:rPr>
          <w:rFonts w:hint="eastAsia" w:asciiTheme="minorEastAsia" w:hAnsiTheme="minorEastAsia" w:eastAsiaTheme="minorEastAsia" w:cstheme="minorEastAsia"/>
          <w:color w:val="auto"/>
          <w:sz w:val="24"/>
          <w:szCs w:val="24"/>
          <w:highlight w:val="none"/>
          <w:lang w:eastAsia="zh-CN"/>
        </w:rPr>
        <w:t>详见</w:t>
      </w:r>
      <w:r>
        <w:rPr>
          <w:rFonts w:hint="eastAsia" w:asciiTheme="minorEastAsia" w:hAnsiTheme="minorEastAsia" w:eastAsiaTheme="minorEastAsia" w:cstheme="minorEastAsia"/>
          <w:color w:val="auto"/>
          <w:sz w:val="24"/>
          <w:szCs w:val="24"/>
          <w:highlight w:val="none"/>
        </w:rPr>
        <w:t>第三章“</w:t>
      </w:r>
      <w:r>
        <w:rPr>
          <w:rFonts w:hint="eastAsia" w:asciiTheme="minorEastAsia" w:hAnsiTheme="minorEastAsia" w:eastAsiaTheme="minorEastAsia" w:cstheme="minorEastAsia"/>
          <w:color w:val="auto"/>
          <w:sz w:val="24"/>
          <w:szCs w:val="24"/>
          <w:highlight w:val="none"/>
          <w:lang w:eastAsia="zh-CN"/>
        </w:rPr>
        <w:t>征集内容及要求</w:t>
      </w:r>
      <w:r>
        <w:rPr>
          <w:rFonts w:hint="eastAsia" w:asciiTheme="minorEastAsia" w:hAnsiTheme="minorEastAsia" w:eastAsiaTheme="minorEastAsia" w:cstheme="minorEastAsia"/>
          <w:color w:val="auto"/>
          <w:sz w:val="24"/>
          <w:szCs w:val="24"/>
          <w:highlight w:val="none"/>
        </w:rPr>
        <w:t>”。</w:t>
      </w:r>
    </w:p>
    <w:p w14:paraId="487BDD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资格标准：</w:t>
      </w:r>
      <w:r>
        <w:rPr>
          <w:rFonts w:hint="eastAsia" w:asciiTheme="minorEastAsia" w:hAnsiTheme="minorEastAsia" w:eastAsiaTheme="minorEastAsia" w:cstheme="minorEastAsia"/>
          <w:b/>
          <w:bCs/>
          <w:color w:val="auto"/>
          <w:sz w:val="24"/>
          <w:szCs w:val="24"/>
          <w:highlight w:val="none"/>
        </w:rPr>
        <w:t>详见</w:t>
      </w:r>
      <w:r>
        <w:rPr>
          <w:rFonts w:hint="eastAsia" w:asciiTheme="minorEastAsia" w:hAnsiTheme="minorEastAsia" w:eastAsiaTheme="minorEastAsia" w:cstheme="minorEastAsia"/>
          <w:b/>
          <w:bCs/>
          <w:color w:val="auto"/>
          <w:sz w:val="24"/>
          <w:szCs w:val="24"/>
          <w:highlight w:val="none"/>
          <w:lang w:eastAsia="zh-CN"/>
        </w:rPr>
        <w:t>服务商</w:t>
      </w:r>
      <w:r>
        <w:rPr>
          <w:rFonts w:hint="eastAsia" w:asciiTheme="minorEastAsia" w:hAnsiTheme="minorEastAsia" w:eastAsiaTheme="minorEastAsia" w:cstheme="minorEastAsia"/>
          <w:b/>
          <w:bCs/>
          <w:color w:val="auto"/>
          <w:sz w:val="24"/>
          <w:szCs w:val="24"/>
          <w:highlight w:val="none"/>
        </w:rPr>
        <w:t>须知前附表中第</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项号的资格标准</w:t>
      </w:r>
      <w:r>
        <w:rPr>
          <w:rFonts w:hint="eastAsia" w:asciiTheme="minorEastAsia" w:hAnsiTheme="minorEastAsia" w:eastAsiaTheme="minorEastAsia" w:cstheme="minorEastAsia"/>
          <w:b/>
          <w:bCs/>
          <w:color w:val="auto"/>
          <w:sz w:val="24"/>
          <w:szCs w:val="24"/>
          <w:highlight w:val="none"/>
          <w:lang w:eastAsia="zh-CN"/>
        </w:rPr>
        <w:t>。</w:t>
      </w:r>
    </w:p>
    <w:p w14:paraId="3420B53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获取征集文件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请</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于自本项目征集公告发布之日起至框架协议期限截止日止</w:t>
      </w:r>
      <w:r>
        <w:rPr>
          <w:rFonts w:hint="eastAsia" w:asciiTheme="minorEastAsia" w:hAnsiTheme="minorEastAsia" w:eastAsiaTheme="minorEastAsia" w:cstheme="minorEastAsia"/>
          <w:color w:val="auto"/>
          <w:sz w:val="24"/>
          <w:szCs w:val="24"/>
          <w:highlight w:val="none"/>
          <w:lang w:eastAsia="zh-CN"/>
        </w:rPr>
        <w:t>至福建省卓诚招投标代理有限责任公司获取征集文件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未向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lang w:eastAsia="zh-CN"/>
        </w:rPr>
        <w:t>代理公司获取征集文件的，申请文件将不予受理。</w:t>
      </w:r>
      <w:r>
        <w:rPr>
          <w:rFonts w:hint="eastAsia" w:asciiTheme="minorEastAsia" w:hAnsiTheme="minorEastAsia" w:eastAsiaTheme="minorEastAsia" w:cstheme="minorEastAsia"/>
          <w:color w:val="auto"/>
          <w:sz w:val="24"/>
          <w:szCs w:val="24"/>
          <w:highlight w:val="none"/>
          <w:lang w:val="en-US" w:eastAsia="zh-CN"/>
        </w:rPr>
        <w:t>征集文件售价：0元。</w:t>
      </w:r>
    </w:p>
    <w:p w14:paraId="7F8B68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五、框架协议期限：</w:t>
      </w:r>
      <w:r>
        <w:rPr>
          <w:rFonts w:hint="eastAsia" w:asciiTheme="minorEastAsia" w:hAnsiTheme="minorEastAsia" w:eastAsiaTheme="minorEastAsia" w:cstheme="minorEastAsia"/>
          <w:color w:val="auto"/>
          <w:sz w:val="24"/>
          <w:szCs w:val="24"/>
          <w:highlight w:val="none"/>
          <w:lang w:val="en-US" w:eastAsia="zh-Hans"/>
        </w:rPr>
        <w:t>自征集公告发布之日起至</w:t>
      </w:r>
      <w:r>
        <w:rPr>
          <w:rFonts w:hint="eastAsia" w:asciiTheme="minorEastAsia" w:hAnsiTheme="minorEastAsia" w:eastAsiaTheme="minorEastAsia" w:cstheme="minorEastAsia"/>
          <w:color w:val="auto"/>
          <w:sz w:val="24"/>
          <w:szCs w:val="24"/>
          <w:highlight w:val="none"/>
          <w:lang w:eastAsia="zh-Hans"/>
        </w:rPr>
        <w:t>202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Hans"/>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月</w:t>
      </w:r>
      <w:r>
        <w:rPr>
          <w:rFonts w:hint="eastAsia" w:asciiTheme="minorEastAsia" w:hAnsiTheme="minorEastAsia" w:eastAsiaTheme="minorEastAsia" w:cstheme="minorEastAsia"/>
          <w:color w:val="auto"/>
          <w:sz w:val="24"/>
          <w:szCs w:val="24"/>
          <w:highlight w:val="none"/>
          <w:lang w:eastAsia="zh-Han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Hans"/>
        </w:rPr>
        <w:t>日止</w:t>
      </w:r>
      <w:r>
        <w:rPr>
          <w:rFonts w:hint="eastAsia" w:asciiTheme="minorEastAsia" w:hAnsiTheme="minorEastAsia" w:eastAsiaTheme="minorEastAsia" w:cstheme="minorEastAsia"/>
          <w:color w:val="auto"/>
          <w:sz w:val="24"/>
          <w:szCs w:val="24"/>
          <w:highlight w:val="none"/>
        </w:rPr>
        <w:t>。</w:t>
      </w:r>
    </w:p>
    <w:p w14:paraId="537CDD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提交方式：</w:t>
      </w:r>
      <w:r>
        <w:rPr>
          <w:rFonts w:hint="eastAsia" w:asciiTheme="minorEastAsia" w:hAnsiTheme="minorEastAsia" w:eastAsiaTheme="minorEastAsia" w:cstheme="minorEastAsia"/>
          <w:color w:val="auto"/>
          <w:sz w:val="24"/>
          <w:szCs w:val="24"/>
          <w:highlight w:val="none"/>
        </w:rPr>
        <w:t>自本项目征集公告发布之日起至框架协议期限截止日止，潜在</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可随时将密封的申请文件寄送至：福州市鼓楼区西洪路528号59号楼2层福建省卓诚招投标代理有限责任公司。</w:t>
      </w:r>
    </w:p>
    <w:p w14:paraId="598626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、有关本项目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rPr>
        <w:t>的相关信息（包括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若有修改），将通过中国招标投标公共服务平台（https://bulletin.cebpubservice.com/）</w:t>
      </w:r>
      <w:r>
        <w:rPr>
          <w:rFonts w:hint="eastAsia" w:asciiTheme="minorEastAsia" w:hAnsiTheme="minorEastAsia" w:eastAsiaTheme="minorEastAsia" w:cstheme="minorEastAsia"/>
          <w:color w:val="auto"/>
          <w:sz w:val="24"/>
          <w:szCs w:val="24"/>
          <w:highlight w:val="none"/>
          <w:lang w:eastAsia="zh-CN"/>
        </w:rPr>
        <w:t>、福建省国资采购平台（https://ygcg.fjcqjy.com/）、</w:t>
      </w:r>
      <w:r>
        <w:rPr>
          <w:rFonts w:hint="eastAsia" w:asciiTheme="minorEastAsia" w:hAnsiTheme="minorEastAsia" w:eastAsiaTheme="minorEastAsia" w:cstheme="minorEastAsia"/>
          <w:color w:val="auto"/>
          <w:sz w:val="24"/>
          <w:szCs w:val="24"/>
          <w:highlight w:val="none"/>
        </w:rPr>
        <w:t>福建省卓诚招投标代理有限责任公司官网（</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"http://ggzyfw.fj.gov.cn:8083/" </w:instrText>
      </w:r>
      <w:r>
        <w:rPr>
          <w:rFonts w:hint="eastAsia" w:asciiTheme="minorEastAsia" w:hAnsiTheme="minorEastAsia" w:eastAsiaTheme="minorEastAsia" w:cstheme="minorEastAsia"/>
          <w:color w:val="auto"/>
          <w:sz w:val="24"/>
          <w:szCs w:val="24"/>
          <w:highlight w:val="none"/>
        </w:rPr>
        <w:fldChar w:fldCharType="separate"/>
      </w:r>
      <w:r>
        <w:rPr>
          <w:rStyle w:val="44"/>
          <w:rFonts w:hint="eastAsia" w:asciiTheme="minorEastAsia" w:hAnsiTheme="minorEastAsia" w:eastAsiaTheme="minorEastAsia" w:cstheme="minorEastAsia"/>
          <w:color w:val="auto"/>
          <w:sz w:val="24"/>
          <w:szCs w:val="24"/>
          <w:highlight w:val="none"/>
          <w:u w:val="none"/>
        </w:rPr>
        <w:t>http://www.fjzczb.com/</w:t>
      </w:r>
      <w:r>
        <w:rPr>
          <w:rStyle w:val="44"/>
          <w:rFonts w:hint="eastAsia" w:asciiTheme="minorEastAsia" w:hAnsiTheme="minorEastAsia" w:eastAsiaTheme="minorEastAsia" w:cstheme="minorEastAsia"/>
          <w:color w:val="auto"/>
          <w:sz w:val="24"/>
          <w:szCs w:val="24"/>
          <w:highlight w:val="none"/>
          <w:u w:val="none"/>
        </w:rPr>
        <w:fldChar w:fldCharType="end"/>
      </w:r>
      <w:r>
        <w:rPr>
          <w:rFonts w:hint="eastAsia" w:asciiTheme="minorEastAsia" w:hAnsiTheme="minorEastAsia" w:eastAsiaTheme="minorEastAsia" w:cstheme="minorEastAsia"/>
          <w:color w:val="auto"/>
          <w:sz w:val="24"/>
          <w:szCs w:val="24"/>
          <w:highlight w:val="none"/>
        </w:rPr>
        <w:t>）媒介通知，请潜在</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随时关注相关网站，以免错漏重要信息。</w:t>
      </w:r>
    </w:p>
    <w:p w14:paraId="43C83F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、联系方式：</w:t>
      </w:r>
    </w:p>
    <w:p w14:paraId="6FB766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福建实达集团股份有限公司</w:t>
      </w:r>
    </w:p>
    <w:p w14:paraId="3CD601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val="en-US" w:eastAsia="zh-CN"/>
        </w:rPr>
        <w:t>福建省</w:t>
      </w:r>
      <w:r>
        <w:rPr>
          <w:rFonts w:hint="eastAsia" w:asciiTheme="minorEastAsia" w:hAnsiTheme="minorEastAsia" w:eastAsiaTheme="minorEastAsia" w:cstheme="minorEastAsia"/>
          <w:color w:val="auto"/>
          <w:sz w:val="24"/>
          <w:szCs w:val="24"/>
          <w:highlight w:val="none"/>
          <w:lang w:eastAsia="zh-CN"/>
        </w:rPr>
        <w:t>福州市闽侯县荆溪镇杜坞43号大数据科技园D6栋</w:t>
      </w:r>
    </w:p>
    <w:p w14:paraId="2F1A02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邮编：35000</w:t>
      </w:r>
      <w:r>
        <w:rPr>
          <w:rFonts w:hint="eastAsia" w:asciiTheme="minorEastAsia" w:hAnsiTheme="minorEastAsia" w:eastAsiaTheme="minorEastAsia" w:cstheme="minorEastAsia"/>
          <w:color w:val="auto"/>
          <w:sz w:val="24"/>
          <w:szCs w:val="24"/>
          <w:highlight w:val="none"/>
          <w:lang w:val="en-US" w:eastAsia="zh-CN"/>
        </w:rPr>
        <w:t>0</w:t>
      </w:r>
    </w:p>
    <w:p w14:paraId="3851C6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shd w:val="clear" w:fill="FFFFFF"/>
        </w:rPr>
        <w:t>0591-83</w:t>
      </w:r>
      <w:r>
        <w:rPr>
          <w:rFonts w:hint="eastAsia" w:asciiTheme="minorEastAsia" w:hAnsiTheme="minorEastAsia" w:eastAsiaTheme="minorEastAsia" w:cstheme="minorEastAsia"/>
          <w:color w:val="auto"/>
          <w:sz w:val="24"/>
          <w:szCs w:val="24"/>
          <w:highlight w:val="none"/>
          <w:shd w:val="clear" w:fill="FFFFFF"/>
          <w:lang w:val="en-US" w:eastAsia="zh-CN"/>
        </w:rPr>
        <w:t>706331</w:t>
      </w:r>
    </w:p>
    <w:p w14:paraId="1DC365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陈女士</w:t>
      </w:r>
    </w:p>
    <w:p w14:paraId="264CB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rPr>
        <w:t>代理机构：福建省卓诚招投标代理有限责任公司</w:t>
      </w:r>
    </w:p>
    <w:p w14:paraId="1C967F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地  址：福州市鼓楼区西洪路528号59号楼2层</w:t>
      </w:r>
    </w:p>
    <w:p w14:paraId="1C021A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电  话：0591－83625873</w:t>
      </w:r>
    </w:p>
    <w:p w14:paraId="752E9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陈丽娜、张思婕</w:t>
      </w:r>
    </w:p>
    <w:p w14:paraId="5662F9E3">
      <w:pPr>
        <w:pStyle w:val="2"/>
        <w:sectPr>
          <w:headerReference r:id="rId9"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74A3933F">
      <w:pPr>
        <w:spacing w:line="360" w:lineRule="auto"/>
        <w:jc w:val="center"/>
        <w:outlineLvl w:val="0"/>
        <w:rPr>
          <w:rFonts w:ascii="宋体" w:hAnsi="宋体" w:cs="宋体"/>
          <w:b/>
          <w:color w:val="auto"/>
          <w:sz w:val="44"/>
          <w:szCs w:val="44"/>
          <w:highlight w:val="none"/>
        </w:rPr>
      </w:pPr>
      <w:bookmarkStart w:id="7" w:name="_Toc18283"/>
      <w:bookmarkStart w:id="8" w:name="_Toc28226"/>
      <w:bookmarkStart w:id="9" w:name="_Toc14707"/>
      <w:r>
        <w:rPr>
          <w:rFonts w:hint="eastAsia" w:ascii="宋体" w:hAnsi="宋体" w:cs="宋体"/>
          <w:b/>
          <w:color w:val="auto"/>
          <w:sz w:val="44"/>
          <w:szCs w:val="44"/>
          <w:highlight w:val="none"/>
        </w:rPr>
        <w:t xml:space="preserve">第二章 </w:t>
      </w:r>
      <w:r>
        <w:rPr>
          <w:rFonts w:hint="eastAsia" w:ascii="宋体" w:hAnsi="宋体" w:cs="宋体"/>
          <w:b/>
          <w:color w:val="auto"/>
          <w:sz w:val="44"/>
          <w:szCs w:val="44"/>
          <w:highlight w:val="none"/>
          <w:lang w:eastAsia="zh-CN"/>
        </w:rPr>
        <w:t>服务商</w:t>
      </w:r>
      <w:r>
        <w:rPr>
          <w:rFonts w:hint="eastAsia" w:ascii="宋体" w:hAnsi="宋体" w:cs="宋体"/>
          <w:b/>
          <w:color w:val="auto"/>
          <w:sz w:val="44"/>
          <w:szCs w:val="44"/>
          <w:highlight w:val="none"/>
        </w:rPr>
        <w:t>须知</w:t>
      </w:r>
      <w:bookmarkEnd w:id="7"/>
      <w:bookmarkEnd w:id="8"/>
      <w:bookmarkEnd w:id="9"/>
    </w:p>
    <w:p w14:paraId="5A44CE50">
      <w:pPr>
        <w:pStyle w:val="4"/>
        <w:numPr>
          <w:ilvl w:val="0"/>
          <w:numId w:val="0"/>
        </w:numPr>
        <w:spacing w:before="0" w:after="0" w:line="360" w:lineRule="auto"/>
        <w:rPr>
          <w:rFonts w:ascii="宋体" w:hAnsi="宋体" w:cs="宋体"/>
          <w:color w:val="auto"/>
          <w:sz w:val="32"/>
          <w:szCs w:val="32"/>
          <w:highlight w:val="none"/>
        </w:rPr>
      </w:pPr>
      <w:bookmarkStart w:id="10" w:name="_Toc24639"/>
      <w:bookmarkStart w:id="11" w:name="_Toc31906"/>
      <w:bookmarkStart w:id="12" w:name="_Toc3675"/>
      <w:r>
        <w:rPr>
          <w:rFonts w:hint="eastAsia" w:ascii="宋体" w:hAnsi="宋体" w:cs="宋体"/>
          <w:color w:val="auto"/>
          <w:sz w:val="32"/>
          <w:szCs w:val="32"/>
          <w:highlight w:val="none"/>
          <w:lang w:eastAsia="zh-CN"/>
        </w:rPr>
        <w:t>服务商</w:t>
      </w:r>
      <w:r>
        <w:rPr>
          <w:rFonts w:hint="eastAsia" w:ascii="宋体" w:hAnsi="宋体" w:cs="宋体"/>
          <w:color w:val="auto"/>
          <w:sz w:val="32"/>
          <w:szCs w:val="32"/>
          <w:highlight w:val="none"/>
        </w:rPr>
        <w:t>须知前附表</w:t>
      </w:r>
      <w:bookmarkEnd w:id="10"/>
      <w:bookmarkEnd w:id="11"/>
      <w:bookmarkEnd w:id="12"/>
    </w:p>
    <w:tbl>
      <w:tblPr>
        <w:tblStyle w:val="38"/>
        <w:tblW w:w="9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2176"/>
        <w:gridCol w:w="6420"/>
      </w:tblGrid>
      <w:tr w14:paraId="4005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5BD6644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76" w:type="dxa"/>
            <w:vAlign w:val="center"/>
          </w:tcPr>
          <w:p w14:paraId="699DD20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6420" w:type="dxa"/>
            <w:vAlign w:val="center"/>
          </w:tcPr>
          <w:p w14:paraId="6650F12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说明和要求</w:t>
            </w:r>
          </w:p>
        </w:tc>
      </w:tr>
      <w:tr w14:paraId="0346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3262F99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76" w:type="dxa"/>
            <w:vAlign w:val="center"/>
          </w:tcPr>
          <w:p w14:paraId="18983A5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420" w:type="dxa"/>
            <w:vAlign w:val="center"/>
          </w:tcPr>
          <w:p w14:paraId="53FDE44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w:t>
            </w:r>
          </w:p>
        </w:tc>
      </w:tr>
      <w:tr w14:paraId="0184C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0EE41E9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176" w:type="dxa"/>
            <w:vAlign w:val="center"/>
          </w:tcPr>
          <w:p w14:paraId="0BBC160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征集</w:t>
            </w:r>
            <w:r>
              <w:rPr>
                <w:rFonts w:hint="eastAsia" w:asciiTheme="minorEastAsia" w:hAnsiTheme="minorEastAsia" w:eastAsiaTheme="minorEastAsia" w:cstheme="minorEastAsia"/>
                <w:color w:val="auto"/>
                <w:sz w:val="24"/>
                <w:szCs w:val="24"/>
                <w:highlight w:val="none"/>
              </w:rPr>
              <w:t>内容</w:t>
            </w:r>
          </w:p>
        </w:tc>
        <w:tc>
          <w:tcPr>
            <w:tcW w:w="6420" w:type="dxa"/>
            <w:vAlign w:val="center"/>
          </w:tcPr>
          <w:p w14:paraId="045F72B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详见“第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Hans"/>
              </w:rPr>
              <w:t>章</w:t>
            </w:r>
            <w:r>
              <w:rPr>
                <w:rFonts w:hint="eastAsia" w:asciiTheme="minorEastAsia" w:hAnsiTheme="minorEastAsia" w:eastAsiaTheme="minorEastAsia" w:cstheme="minorEastAsia"/>
                <w:color w:val="auto"/>
                <w:sz w:val="24"/>
                <w:szCs w:val="24"/>
                <w:highlight w:val="none"/>
                <w:lang w:val="en-US" w:eastAsia="zh-Hans"/>
              </w:rPr>
              <w:tab/>
            </w:r>
            <w:r>
              <w:rPr>
                <w:rFonts w:hint="eastAsia" w:asciiTheme="minorEastAsia" w:hAnsiTheme="minorEastAsia" w:eastAsiaTheme="minorEastAsia" w:cstheme="minorEastAsia"/>
                <w:color w:val="auto"/>
                <w:sz w:val="24"/>
                <w:szCs w:val="24"/>
                <w:highlight w:val="none"/>
                <w:lang w:val="en-US" w:eastAsia="zh-CN"/>
              </w:rPr>
              <w:t>征集内容及要求</w:t>
            </w:r>
            <w:r>
              <w:rPr>
                <w:rFonts w:hint="eastAsia" w:asciiTheme="minorEastAsia" w:hAnsiTheme="minorEastAsia" w:eastAsiaTheme="minorEastAsia" w:cstheme="minorEastAsia"/>
                <w:color w:val="auto"/>
                <w:sz w:val="24"/>
                <w:szCs w:val="24"/>
                <w:highlight w:val="none"/>
                <w:lang w:val="en-US" w:eastAsia="zh-Hans"/>
              </w:rPr>
              <w:t>”</w:t>
            </w:r>
          </w:p>
        </w:tc>
      </w:tr>
      <w:tr w14:paraId="61DA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4E136A3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176" w:type="dxa"/>
            <w:vAlign w:val="center"/>
          </w:tcPr>
          <w:p w14:paraId="40B122C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签订</w:t>
            </w:r>
          </w:p>
        </w:tc>
        <w:tc>
          <w:tcPr>
            <w:tcW w:w="6420" w:type="dxa"/>
            <w:vAlign w:val="center"/>
          </w:tcPr>
          <w:p w14:paraId="42A2F8A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第二阶段确定成交服务商后签订合同</w:t>
            </w:r>
          </w:p>
        </w:tc>
      </w:tr>
      <w:tr w14:paraId="0794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20419A0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176" w:type="dxa"/>
            <w:vAlign w:val="center"/>
          </w:tcPr>
          <w:p w14:paraId="2545BC73">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框架协议期限</w:t>
            </w:r>
          </w:p>
        </w:tc>
        <w:tc>
          <w:tcPr>
            <w:tcW w:w="6420" w:type="dxa"/>
            <w:vAlign w:val="center"/>
          </w:tcPr>
          <w:p w14:paraId="664AADD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自征集公告发布之日起至202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Hans"/>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月3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Hans"/>
              </w:rPr>
              <w:t>日止</w:t>
            </w:r>
          </w:p>
        </w:tc>
      </w:tr>
      <w:tr w14:paraId="4111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65A307C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176" w:type="dxa"/>
            <w:vAlign w:val="center"/>
          </w:tcPr>
          <w:p w14:paraId="160B442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420" w:type="dxa"/>
            <w:vAlign w:val="center"/>
          </w:tcPr>
          <w:p w14:paraId="01BBB98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自有资金</w:t>
            </w:r>
          </w:p>
        </w:tc>
      </w:tr>
      <w:tr w14:paraId="5E719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200E972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176" w:type="dxa"/>
            <w:vAlign w:val="center"/>
          </w:tcPr>
          <w:p w14:paraId="64683BB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质量及验收标准</w:t>
            </w:r>
          </w:p>
        </w:tc>
        <w:tc>
          <w:tcPr>
            <w:tcW w:w="6420" w:type="dxa"/>
            <w:vAlign w:val="center"/>
          </w:tcPr>
          <w:p w14:paraId="2C6695EF">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达到国家相关规范及标准要求，同时符合征集人项目需求</w:t>
            </w:r>
          </w:p>
        </w:tc>
      </w:tr>
      <w:tr w14:paraId="3568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3F52AE9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176" w:type="dxa"/>
            <w:vAlign w:val="center"/>
          </w:tcPr>
          <w:p w14:paraId="6D56DD0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420" w:type="dxa"/>
            <w:vAlign w:val="center"/>
          </w:tcPr>
          <w:p w14:paraId="0316EB0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详见“第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Hans"/>
              </w:rPr>
              <w:t>章</w:t>
            </w:r>
            <w:r>
              <w:rPr>
                <w:rFonts w:hint="eastAsia" w:asciiTheme="minorEastAsia" w:hAnsiTheme="minorEastAsia" w:eastAsiaTheme="minorEastAsia" w:cstheme="minorEastAsia"/>
                <w:color w:val="auto"/>
                <w:sz w:val="24"/>
                <w:szCs w:val="24"/>
                <w:highlight w:val="none"/>
                <w:lang w:val="en-US" w:eastAsia="zh-Hans"/>
              </w:rPr>
              <w:tab/>
            </w:r>
            <w:r>
              <w:rPr>
                <w:rFonts w:hint="eastAsia" w:asciiTheme="minorEastAsia" w:hAnsiTheme="minorEastAsia" w:eastAsiaTheme="minorEastAsia" w:cstheme="minorEastAsia"/>
                <w:color w:val="auto"/>
                <w:sz w:val="24"/>
                <w:szCs w:val="24"/>
                <w:highlight w:val="none"/>
                <w:lang w:val="en-US" w:eastAsia="zh-CN"/>
              </w:rPr>
              <w:t>征集内容及要求</w:t>
            </w:r>
            <w:r>
              <w:rPr>
                <w:rFonts w:hint="eastAsia" w:asciiTheme="minorEastAsia" w:hAnsiTheme="minorEastAsia" w:eastAsiaTheme="minorEastAsia" w:cstheme="minorEastAsia"/>
                <w:color w:val="auto"/>
                <w:sz w:val="24"/>
                <w:szCs w:val="24"/>
                <w:highlight w:val="none"/>
                <w:lang w:val="en-US" w:eastAsia="zh-Hans"/>
              </w:rPr>
              <w:t>”</w:t>
            </w:r>
          </w:p>
        </w:tc>
      </w:tr>
      <w:tr w14:paraId="36C6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5" w:hRule="atLeast"/>
          <w:jc w:val="center"/>
        </w:trPr>
        <w:tc>
          <w:tcPr>
            <w:tcW w:w="662" w:type="dxa"/>
            <w:vAlign w:val="center"/>
          </w:tcPr>
          <w:p w14:paraId="2F25F87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2176" w:type="dxa"/>
            <w:vAlign w:val="center"/>
          </w:tcPr>
          <w:p w14:paraId="63D0496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资格要求</w:t>
            </w:r>
          </w:p>
        </w:tc>
        <w:tc>
          <w:tcPr>
            <w:tcW w:w="6420" w:type="dxa"/>
            <w:vAlign w:val="center"/>
          </w:tcPr>
          <w:p w14:paraId="18719045">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1.一般资格要求，须提供以下材料：</w:t>
            </w:r>
          </w:p>
          <w:p w14:paraId="587977B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1.1统一社会信用代码营业执照副本复印件（适用于标段一至三）；</w:t>
            </w:r>
          </w:p>
          <w:p w14:paraId="1261E9E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1.2财务状况（提供上一年度或上一季度经审计的财务报告；或者近六个月内基本开户银行出具的资信证明），依法缴纳税收和社会保障资金的相关材料（近六个月内任意一个月缴交证明）</w:t>
            </w:r>
          </w:p>
          <w:p w14:paraId="7AA18D74">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1.3具备履行合同所必需的设备和专业技术能力的声明函；</w:t>
            </w:r>
          </w:p>
          <w:p w14:paraId="4D5EEA80">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1.4法定代表人（或负责人）授权书原件[服务商代表是法定代表人（或负责人）无需]；服务商代表及法定代表人（或负责人）的身份证复印件；</w:t>
            </w:r>
          </w:p>
          <w:p w14:paraId="6A6F8FE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1.5参加采购活动前3年内在经营活动中没有重大违法记录的书面声明；</w:t>
            </w:r>
          </w:p>
          <w:p w14:paraId="02DAE44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服务商应在提交申请文件之日前分别通过“信用中国”网站（www.creditchina.gov.cn）、中国政府采购网（www.ccgp.gov.cn）查询并打印相应的信用记录（以下简称：“服务商提供的查询结果”），服务商提供的查询结果应为其通过上述网站获取的信用信息查询结果原始页面的打印件（或截图）。查询结果存在服务商应被拒绝参与采购活动相关信息的，其资格审查不合格。</w:t>
            </w:r>
          </w:p>
          <w:p w14:paraId="16FBD6CB">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2.本项目的特定资格要求：</w:t>
            </w:r>
          </w:p>
          <w:p w14:paraId="6C227D2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单位负责人为同一人或者存在直接控股、管理关系的不同参加征集服务商，不得参加同一框架协议项下的采购活动（如发现参加的，仅以先提交申请文件且通过审查的服务商作为入围服务商）；为本项目提供整体设计、规范编制或者项目管理、监理、检测等服务的服务商，不得参加本项目的框架协议采购；</w:t>
            </w:r>
          </w:p>
          <w:p w14:paraId="6E99F74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3.本项目不接受联合体投标。</w:t>
            </w:r>
          </w:p>
        </w:tc>
      </w:tr>
      <w:tr w14:paraId="4DC5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662" w:type="dxa"/>
            <w:vAlign w:val="center"/>
          </w:tcPr>
          <w:p w14:paraId="74B899C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176" w:type="dxa"/>
            <w:vAlign w:val="center"/>
          </w:tcPr>
          <w:p w14:paraId="07DA938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获取征集文件</w:t>
            </w:r>
          </w:p>
        </w:tc>
        <w:tc>
          <w:tcPr>
            <w:tcW w:w="6420" w:type="dxa"/>
            <w:vAlign w:val="center"/>
          </w:tcPr>
          <w:p w14:paraId="0F1C3DDF">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于自本项目征集公告发布之日起至框架协议期限截止日止</w:t>
            </w:r>
            <w:r>
              <w:rPr>
                <w:rFonts w:hint="eastAsia" w:asciiTheme="minorEastAsia" w:hAnsiTheme="minorEastAsia" w:eastAsiaTheme="minorEastAsia" w:cstheme="minorEastAsia"/>
                <w:color w:val="auto"/>
                <w:sz w:val="24"/>
                <w:szCs w:val="24"/>
                <w:highlight w:val="none"/>
                <w:lang w:eastAsia="zh-CN"/>
              </w:rPr>
              <w:t>到福建省卓诚招投标代理有限责任公司获取征集文件，未获取征集文件的，提交的申请文件将被拒绝</w:t>
            </w:r>
            <w:r>
              <w:rPr>
                <w:rFonts w:hint="eastAsia" w:asciiTheme="minorEastAsia" w:hAnsiTheme="minorEastAsia" w:eastAsiaTheme="minorEastAsia" w:cstheme="minorEastAsia"/>
                <w:color w:val="auto"/>
                <w:sz w:val="24"/>
                <w:szCs w:val="24"/>
                <w:highlight w:val="none"/>
              </w:rPr>
              <w:t>。</w:t>
            </w:r>
          </w:p>
        </w:tc>
      </w:tr>
      <w:tr w14:paraId="4278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109C348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rPr>
              <w:t>10</w:t>
            </w:r>
          </w:p>
        </w:tc>
        <w:tc>
          <w:tcPr>
            <w:tcW w:w="2176" w:type="dxa"/>
            <w:vAlign w:val="center"/>
          </w:tcPr>
          <w:p w14:paraId="0E63D26D">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有效期</w:t>
            </w:r>
          </w:p>
        </w:tc>
        <w:tc>
          <w:tcPr>
            <w:tcW w:w="6420" w:type="dxa"/>
            <w:vAlign w:val="center"/>
          </w:tcPr>
          <w:p w14:paraId="6083DAC8">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提交截止之日起90日历天</w:t>
            </w:r>
          </w:p>
        </w:tc>
      </w:tr>
      <w:tr w14:paraId="1D93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5D92AD4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2176" w:type="dxa"/>
            <w:vAlign w:val="center"/>
          </w:tcPr>
          <w:p w14:paraId="6D2F0356">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资格审查方式</w:t>
            </w:r>
          </w:p>
        </w:tc>
        <w:tc>
          <w:tcPr>
            <w:tcW w:w="6420" w:type="dxa"/>
            <w:vAlign w:val="center"/>
          </w:tcPr>
          <w:p w14:paraId="0C15AE80">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资格后审</w:t>
            </w:r>
          </w:p>
        </w:tc>
      </w:tr>
      <w:tr w14:paraId="6EF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1C8863C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2176" w:type="dxa"/>
            <w:vAlign w:val="center"/>
          </w:tcPr>
          <w:p w14:paraId="237D8E8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踏勘现场</w:t>
            </w:r>
          </w:p>
        </w:tc>
        <w:tc>
          <w:tcPr>
            <w:tcW w:w="6420" w:type="dxa"/>
            <w:vAlign w:val="center"/>
          </w:tcPr>
          <w:p w14:paraId="6435EF66">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不组织，自行踏勘。</w:t>
            </w:r>
          </w:p>
        </w:tc>
      </w:tr>
      <w:tr w14:paraId="4336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7F57201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2176" w:type="dxa"/>
            <w:vAlign w:val="center"/>
          </w:tcPr>
          <w:p w14:paraId="4147ADB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420" w:type="dxa"/>
            <w:vAlign w:val="center"/>
          </w:tcPr>
          <w:p w14:paraId="012CEDC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本项目不收取保证金。</w:t>
            </w:r>
          </w:p>
        </w:tc>
      </w:tr>
      <w:tr w14:paraId="62B7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034233D0">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p>
        </w:tc>
        <w:tc>
          <w:tcPr>
            <w:tcW w:w="2176" w:type="dxa"/>
            <w:vAlign w:val="center"/>
          </w:tcPr>
          <w:p w14:paraId="222361A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征集文件澄清、</w:t>
            </w:r>
          </w:p>
          <w:p w14:paraId="1B40064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修改发出形式</w:t>
            </w:r>
          </w:p>
        </w:tc>
        <w:tc>
          <w:tcPr>
            <w:tcW w:w="6420" w:type="dxa"/>
            <w:vAlign w:val="center"/>
          </w:tcPr>
          <w:p w14:paraId="023E2C6A">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1.关于本项目的补充、答疑、澄清和变更，采购代理机构将以在采购公告发布的媒介上发布发送更正通知各服务商需及时关注平台项目信息变更情况，必须根据最新的答疑（变更）内容编制并递交申请文件。</w:t>
            </w:r>
          </w:p>
          <w:p w14:paraId="04EED8E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2.服务商有义务自行查阅网站信息或递交申请文件前向采购代理机构电话确认，未按要求查阅的自行承担相应后果，恕不予单独告知，答疑文件作为征集文件的组成部分。</w:t>
            </w:r>
          </w:p>
          <w:p w14:paraId="0F2E5B2E">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3.服务商未在规定时间内提出询问或者疑问，视为认同征集文件以及答疑文件内的所有要求，服务商未按照征集文件、解答或者答疑要求征集的，后果自负。</w:t>
            </w:r>
          </w:p>
        </w:tc>
      </w:tr>
      <w:tr w14:paraId="0EE4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27C3D5B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176" w:type="dxa"/>
            <w:vAlign w:val="center"/>
          </w:tcPr>
          <w:p w14:paraId="0C77F9C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申请文件的要求</w:t>
            </w:r>
          </w:p>
        </w:tc>
        <w:tc>
          <w:tcPr>
            <w:tcW w:w="6420" w:type="dxa"/>
            <w:vAlign w:val="center"/>
          </w:tcPr>
          <w:p w14:paraId="53B29073">
            <w:pPr>
              <w:pStyle w:val="269"/>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纸质响应文件：一正</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副，应使用不能擦去的墨料或墨水打印、书写或复印其中：①正本应用A4幅面纸张打印装订，编制封面（封面标明“正本”字样）、索引、页码，装订成册。②副本应用A4幅面纸张打印装订，编制封面（封面标明“副本”字样）、索引、页码；副本可用正本的完整复印件，并与正本保持一致（若不一致，以正本为准）</w:t>
            </w:r>
            <w:r>
              <w:rPr>
                <w:rFonts w:hint="eastAsia" w:asciiTheme="minorEastAsia" w:hAnsiTheme="minorEastAsia" w:eastAsiaTheme="minorEastAsia" w:cstheme="minorEastAsia"/>
                <w:color w:val="auto"/>
                <w:sz w:val="24"/>
                <w:szCs w:val="24"/>
                <w:highlight w:val="none"/>
                <w:lang w:eastAsia="zh-CN"/>
              </w:rPr>
              <w:t>。</w:t>
            </w:r>
          </w:p>
          <w:p w14:paraId="4D0B0ABA">
            <w:pPr>
              <w:pStyle w:val="269"/>
              <w:keepNext w:val="0"/>
              <w:keepLines w:val="0"/>
              <w:pageBreakBefore w:val="0"/>
              <w:numPr>
                <w:ilvl w:val="-1"/>
                <w:numId w:val="0"/>
              </w:numPr>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电子响应文件：可读介质（光盘或U盘）1份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盖章版的</w:t>
            </w:r>
            <w:r>
              <w:rPr>
                <w:rFonts w:hint="eastAsia" w:asciiTheme="minorEastAsia" w:hAnsiTheme="minorEastAsia" w:eastAsiaTheme="minorEastAsia" w:cstheme="minorEastAsia"/>
                <w:color w:val="auto"/>
                <w:sz w:val="24"/>
                <w:szCs w:val="24"/>
                <w:highlight w:val="none"/>
                <w:lang w:eastAsia="zh-CN"/>
              </w:rPr>
              <w:t>PDF扫描件+可编辑Word版本）</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其中</w:t>
            </w:r>
            <w:r>
              <w:rPr>
                <w:rFonts w:hint="eastAsia" w:asciiTheme="minorEastAsia" w:hAnsiTheme="minorEastAsia" w:eastAsiaTheme="minorEastAsia" w:cstheme="minorEastAsia"/>
                <w:color w:val="auto"/>
                <w:kern w:val="2"/>
                <w:sz w:val="24"/>
                <w:szCs w:val="24"/>
                <w:highlight w:val="none"/>
                <w:lang w:val="en-US" w:eastAsia="zh-CN" w:bidi="ar-SA"/>
              </w:rPr>
              <w:t>服务商</w:t>
            </w:r>
            <w:r>
              <w:rPr>
                <w:rFonts w:hint="eastAsia" w:asciiTheme="minorEastAsia" w:hAnsiTheme="minorEastAsia" w:eastAsiaTheme="minorEastAsia" w:cstheme="minorEastAsia"/>
                <w:color w:val="auto"/>
                <w:sz w:val="24"/>
                <w:szCs w:val="24"/>
                <w:highlight w:val="none"/>
              </w:rPr>
              <w:t>应扫描纸质响应文件正本以PDF格式制作成电子文本，其中所有文件不做压缩处理、不留密码。</w:t>
            </w:r>
          </w:p>
          <w:p w14:paraId="06962294">
            <w:pPr>
              <w:pStyle w:val="269"/>
              <w:keepNext w:val="0"/>
              <w:keepLines w:val="0"/>
              <w:pageBreakBefore w:val="0"/>
              <w:numPr>
                <w:ilvl w:val="-1"/>
                <w:numId w:val="0"/>
              </w:numPr>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注：未按上述要求编制，按无效申请处理。</w:t>
            </w:r>
          </w:p>
        </w:tc>
      </w:tr>
      <w:tr w14:paraId="44FC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460DB9C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176" w:type="dxa"/>
            <w:vAlign w:val="center"/>
          </w:tcPr>
          <w:p w14:paraId="5347D93F">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评审原则</w:t>
            </w:r>
          </w:p>
        </w:tc>
        <w:tc>
          <w:tcPr>
            <w:tcW w:w="6420" w:type="dxa"/>
            <w:vAlign w:val="center"/>
          </w:tcPr>
          <w:p w14:paraId="7D83B9A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标段一</w:t>
            </w:r>
            <w:r>
              <w:rPr>
                <w:rFonts w:hint="eastAsia" w:asciiTheme="minorEastAsia" w:hAnsiTheme="minorEastAsia" w:eastAsiaTheme="minorEastAsia" w:cstheme="minorEastAsia"/>
                <w:b/>
                <w:bCs/>
                <w:color w:val="auto"/>
                <w:sz w:val="24"/>
                <w:szCs w:val="24"/>
                <w:highlight w:val="none"/>
                <w:lang w:val="en-US" w:eastAsia="zh-CN"/>
              </w:rPr>
              <w:t>至标段三评审原则</w:t>
            </w:r>
          </w:p>
          <w:p w14:paraId="3BA791D1">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（1）第一阶段：</w:t>
            </w:r>
          </w:p>
          <w:p w14:paraId="39FC0866">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本次框架协议采购活动确定第一阶段入围</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的评审方</w:t>
            </w:r>
            <w:r>
              <w:rPr>
                <w:rFonts w:hint="eastAsia" w:asciiTheme="minorEastAsia" w:hAnsiTheme="minorEastAsia" w:eastAsiaTheme="minorEastAsia" w:cstheme="minorEastAsia"/>
                <w:color w:val="auto"/>
                <w:spacing w:val="-7"/>
                <w:sz w:val="24"/>
                <w:szCs w:val="24"/>
                <w:highlight w:val="none"/>
              </w:rPr>
              <w:t>法为合格制，接纳所有愿意接受协议条件</w:t>
            </w:r>
            <w:r>
              <w:rPr>
                <w:rFonts w:hint="eastAsia" w:asciiTheme="minorEastAsia" w:hAnsiTheme="minorEastAsia" w:eastAsiaTheme="minorEastAsia" w:cstheme="minorEastAsia"/>
                <w:color w:val="auto"/>
                <w:spacing w:val="-7"/>
                <w:sz w:val="24"/>
                <w:szCs w:val="24"/>
                <w:highlight w:val="none"/>
                <w:lang w:eastAsia="zh-CN"/>
              </w:rPr>
              <w:t>且资格符合的服务商</w:t>
            </w:r>
            <w:r>
              <w:rPr>
                <w:rFonts w:hint="eastAsia" w:asciiTheme="minorEastAsia" w:hAnsiTheme="minorEastAsia" w:eastAsiaTheme="minorEastAsia" w:cstheme="minorEastAsia"/>
                <w:color w:val="auto"/>
                <w:spacing w:val="-7"/>
                <w:sz w:val="24"/>
                <w:szCs w:val="24"/>
                <w:highlight w:val="none"/>
              </w:rPr>
              <w:t>加入框架</w:t>
            </w:r>
            <w:r>
              <w:rPr>
                <w:rFonts w:hint="eastAsia" w:asciiTheme="minorEastAsia" w:hAnsiTheme="minorEastAsia" w:eastAsiaTheme="minorEastAsia" w:cstheme="minorEastAsia"/>
                <w:color w:val="auto"/>
                <w:sz w:val="24"/>
                <w:szCs w:val="24"/>
                <w:highlight w:val="none"/>
              </w:rPr>
              <w:t>协议，以供</w:t>
            </w:r>
            <w:r>
              <w:rPr>
                <w:rFonts w:hint="eastAsia" w:asciiTheme="minorEastAsia" w:hAnsiTheme="minorEastAsia" w:eastAsiaTheme="minorEastAsia" w:cstheme="minorEastAsia"/>
                <w:color w:val="auto"/>
                <w:sz w:val="24"/>
                <w:szCs w:val="24"/>
                <w:highlight w:val="none"/>
                <w:lang w:eastAsia="zh-CN"/>
              </w:rPr>
              <w:t>采购人第二阶段</w:t>
            </w:r>
            <w:r>
              <w:rPr>
                <w:rFonts w:hint="eastAsia" w:asciiTheme="minorEastAsia" w:hAnsiTheme="minorEastAsia" w:eastAsiaTheme="minorEastAsia" w:cstheme="minorEastAsia"/>
                <w:color w:val="auto"/>
                <w:sz w:val="24"/>
                <w:szCs w:val="24"/>
                <w:highlight w:val="none"/>
              </w:rPr>
              <w:t>选择的。</w:t>
            </w:r>
          </w:p>
          <w:p w14:paraId="1852836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color w:val="auto"/>
                <w:sz w:val="24"/>
                <w:szCs w:val="24"/>
                <w:highlight w:val="none"/>
              </w:rPr>
              <w:t>第二阶段：</w:t>
            </w:r>
            <w:r>
              <w:rPr>
                <w:rStyle w:val="41"/>
                <w:rFonts w:hint="eastAsia" w:asciiTheme="minorEastAsia" w:hAnsiTheme="minorEastAsia" w:eastAsiaTheme="minorEastAsia" w:cstheme="minorEastAsia"/>
                <w:color w:val="auto"/>
                <w:sz w:val="24"/>
                <w:szCs w:val="24"/>
                <w:highlight w:val="none"/>
              </w:rPr>
              <w:t>成交</w:t>
            </w:r>
            <w:r>
              <w:rPr>
                <w:rStyle w:val="41"/>
                <w:rFonts w:hint="eastAsia" w:asciiTheme="minorEastAsia" w:hAnsiTheme="minorEastAsia" w:eastAsiaTheme="minorEastAsia" w:cstheme="minorEastAsia"/>
                <w:color w:val="auto"/>
                <w:sz w:val="24"/>
                <w:szCs w:val="24"/>
                <w:highlight w:val="none"/>
                <w:lang w:eastAsia="zh-CN"/>
              </w:rPr>
              <w:t>服务商</w:t>
            </w:r>
            <w:r>
              <w:rPr>
                <w:rStyle w:val="41"/>
                <w:rFonts w:hint="eastAsia" w:asciiTheme="minorEastAsia" w:hAnsiTheme="minorEastAsia" w:eastAsiaTheme="minorEastAsia" w:cstheme="minorEastAsia"/>
                <w:color w:val="auto"/>
                <w:sz w:val="24"/>
                <w:szCs w:val="24"/>
                <w:highlight w:val="none"/>
              </w:rPr>
              <w:t>的确定</w:t>
            </w:r>
          </w:p>
          <w:p w14:paraId="2A31A647">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确定第二阶段成交</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的方式为：</w:t>
            </w:r>
            <w:r>
              <w:rPr>
                <w:rFonts w:hint="eastAsia" w:asciiTheme="minorEastAsia" w:hAnsiTheme="minorEastAsia" w:eastAsiaTheme="minorEastAsia" w:cstheme="minorEastAsia"/>
                <w:color w:val="auto"/>
                <w:sz w:val="24"/>
                <w:szCs w:val="24"/>
                <w:highlight w:val="none"/>
                <w:lang w:eastAsia="zh-CN"/>
              </w:rPr>
              <w:t>二次竞价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采购人将不同的项目需求，向符合项目需求的服务商发布询价通知，由服务商进行报价，符合项目需求且报价最低（报价不得超过第一阶段设定的最高限制单价）的将作为成交服务商。</w:t>
            </w:r>
          </w:p>
        </w:tc>
      </w:tr>
      <w:tr w14:paraId="7D7F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35E85CF9">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2176" w:type="dxa"/>
            <w:vAlign w:val="center"/>
          </w:tcPr>
          <w:p w14:paraId="14E2AD03">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最高限制单价</w:t>
            </w:r>
          </w:p>
        </w:tc>
        <w:tc>
          <w:tcPr>
            <w:tcW w:w="6420" w:type="dxa"/>
            <w:vAlign w:val="center"/>
          </w:tcPr>
          <w:p w14:paraId="3FEC5499">
            <w:pPr>
              <w:pStyle w:val="269"/>
              <w:keepNext w:val="0"/>
              <w:keepLines w:val="0"/>
              <w:pageBreakBefore w:val="0"/>
              <w:widowControl w:val="0"/>
              <w:tabs>
                <w:tab w:val="left" w:pos="4428"/>
              </w:tabs>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详见“第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征集内容及要求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，本项目所设定的最高限制单价仅作为服务商参与征集及第二阶段报价的依据，不作为最终结算价格。</w:t>
            </w:r>
          </w:p>
        </w:tc>
      </w:tr>
      <w:tr w14:paraId="7896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04CBBF1F">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2176" w:type="dxa"/>
            <w:vAlign w:val="center"/>
          </w:tcPr>
          <w:p w14:paraId="21224152">
            <w:pPr>
              <w:pStyle w:val="269"/>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是否</w:t>
            </w:r>
            <w:r>
              <w:rPr>
                <w:rFonts w:hint="eastAsia" w:asciiTheme="minorEastAsia" w:hAnsiTheme="minorEastAsia" w:eastAsiaTheme="minorEastAsia" w:cstheme="minorEastAsia"/>
                <w:color w:val="auto"/>
                <w:sz w:val="24"/>
                <w:szCs w:val="24"/>
                <w:highlight w:val="none"/>
              </w:rPr>
              <w:t>提供履约保证金</w:t>
            </w:r>
          </w:p>
        </w:tc>
        <w:tc>
          <w:tcPr>
            <w:tcW w:w="6420" w:type="dxa"/>
            <w:vAlign w:val="center"/>
          </w:tcPr>
          <w:p w14:paraId="3565ACA6">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47B7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0D723F9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2176" w:type="dxa"/>
            <w:vAlign w:val="center"/>
          </w:tcPr>
          <w:p w14:paraId="380C16A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w:t>
            </w:r>
          </w:p>
        </w:tc>
        <w:tc>
          <w:tcPr>
            <w:tcW w:w="6420" w:type="dxa"/>
            <w:vAlign w:val="center"/>
          </w:tcPr>
          <w:p w14:paraId="22CCB3E7">
            <w:pPr>
              <w:pStyle w:val="269"/>
              <w:keepNext w:val="0"/>
              <w:keepLines w:val="0"/>
              <w:pageBreakBefore w:val="0"/>
              <w:widowControl w:val="0"/>
              <w:numPr>
                <w:ilvl w:val="0"/>
                <w:numId w:val="0"/>
              </w:numPr>
              <w:tabs>
                <w:tab w:val="left" w:pos="350"/>
              </w:tabs>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入围</w:t>
            </w:r>
            <w:r>
              <w:rPr>
                <w:rFonts w:hint="eastAsia" w:asciiTheme="minorEastAsia" w:hAnsiTheme="minorEastAsia" w:eastAsiaTheme="minorEastAsia" w:cstheme="minorEastAsia"/>
                <w:b/>
                <w:color w:val="auto"/>
                <w:sz w:val="24"/>
                <w:szCs w:val="24"/>
                <w:highlight w:val="none"/>
                <w:lang w:eastAsia="zh-CN"/>
              </w:rPr>
              <w:t>服务商</w:t>
            </w:r>
            <w:r>
              <w:rPr>
                <w:rFonts w:hint="eastAsia" w:asciiTheme="minorEastAsia" w:hAnsiTheme="minorEastAsia" w:eastAsiaTheme="minorEastAsia" w:cstheme="minorEastAsia"/>
                <w:b/>
                <w:color w:val="auto"/>
                <w:sz w:val="24"/>
                <w:szCs w:val="24"/>
                <w:highlight w:val="none"/>
              </w:rPr>
              <w:t>可以随时申请退出框架协议。</w:t>
            </w:r>
          </w:p>
          <w:p w14:paraId="2948A35F">
            <w:pPr>
              <w:pStyle w:val="269"/>
              <w:keepNext w:val="0"/>
              <w:keepLines w:val="0"/>
              <w:pageBreakBefore w:val="0"/>
              <w:widowControl w:val="0"/>
              <w:numPr>
                <w:ilvl w:val="0"/>
                <w:numId w:val="0"/>
              </w:numPr>
              <w:tabs>
                <w:tab w:val="left" w:pos="350"/>
              </w:tabs>
              <w:kinsoku/>
              <w:wordWrap/>
              <w:overflowPunct/>
              <w:topLinePunct w:val="0"/>
              <w:autoSpaceDE/>
              <w:autoSpaceDN/>
              <w:bidi w:val="0"/>
              <w:adjustRightInd/>
              <w:snapToGrid/>
              <w:spacing w:line="440" w:lineRule="exact"/>
              <w:ind w:leftChars="0" w:right="0" w:right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pacing w:val="-5"/>
                <w:sz w:val="24"/>
                <w:szCs w:val="24"/>
                <w:highlight w:val="none"/>
                <w:lang w:val="en-US" w:eastAsia="zh-CN"/>
              </w:rPr>
              <w:t>2.</w:t>
            </w:r>
            <w:r>
              <w:rPr>
                <w:rFonts w:hint="eastAsia" w:asciiTheme="minorEastAsia" w:hAnsiTheme="minorEastAsia" w:eastAsiaTheme="minorEastAsia" w:cstheme="minorEastAsia"/>
                <w:b/>
                <w:color w:val="auto"/>
                <w:spacing w:val="-5"/>
                <w:sz w:val="24"/>
                <w:szCs w:val="24"/>
                <w:highlight w:val="none"/>
              </w:rPr>
              <w:t>征集公告发布后至框架协议期满前，</w:t>
            </w:r>
            <w:r>
              <w:rPr>
                <w:rFonts w:hint="eastAsia" w:asciiTheme="minorEastAsia" w:hAnsiTheme="minorEastAsia" w:eastAsiaTheme="minorEastAsia" w:cstheme="minorEastAsia"/>
                <w:b/>
                <w:color w:val="auto"/>
                <w:spacing w:val="-5"/>
                <w:sz w:val="24"/>
                <w:szCs w:val="24"/>
                <w:highlight w:val="none"/>
                <w:lang w:eastAsia="zh-CN"/>
              </w:rPr>
              <w:t>服务商</w:t>
            </w:r>
            <w:r>
              <w:rPr>
                <w:rFonts w:hint="eastAsia" w:asciiTheme="minorEastAsia" w:hAnsiTheme="minorEastAsia" w:eastAsiaTheme="minorEastAsia" w:cstheme="minorEastAsia"/>
                <w:b/>
                <w:color w:val="auto"/>
                <w:spacing w:val="-5"/>
                <w:sz w:val="24"/>
                <w:szCs w:val="24"/>
                <w:highlight w:val="none"/>
              </w:rPr>
              <w:t>可以按照征集</w:t>
            </w:r>
            <w:r>
              <w:rPr>
                <w:rFonts w:hint="eastAsia" w:asciiTheme="minorEastAsia" w:hAnsiTheme="minorEastAsia" w:eastAsiaTheme="minorEastAsia" w:cstheme="minorEastAsia"/>
                <w:b/>
                <w:color w:val="auto"/>
                <w:sz w:val="24"/>
                <w:szCs w:val="24"/>
                <w:highlight w:val="none"/>
              </w:rPr>
              <w:t>公告要求，随时提交加入框架协议的申请。</w:t>
            </w:r>
          </w:p>
          <w:p w14:paraId="0EFEF71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申请前须提前电话联系征集人或采购代理机构，联系方式如下：</w:t>
            </w:r>
          </w:p>
          <w:p w14:paraId="6C717FC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①征集人：</w:t>
            </w:r>
            <w:r>
              <w:rPr>
                <w:rFonts w:hint="eastAsia" w:asciiTheme="minorEastAsia" w:hAnsiTheme="minorEastAsia" w:eastAsiaTheme="minorEastAsia" w:cstheme="minorEastAsia"/>
                <w:color w:val="auto"/>
                <w:sz w:val="24"/>
                <w:szCs w:val="24"/>
                <w:highlight w:val="none"/>
                <w:lang w:eastAsia="zh-CN"/>
              </w:rPr>
              <w:t>福建实达集团股份有限公司</w:t>
            </w:r>
          </w:p>
          <w:p w14:paraId="12432FE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陈女士</w:t>
            </w:r>
          </w:p>
          <w:p w14:paraId="24B1411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shd w:val="clear" w:fill="FFFFFF"/>
              </w:rPr>
              <w:t>0591-83</w:t>
            </w:r>
            <w:r>
              <w:rPr>
                <w:rFonts w:hint="eastAsia" w:asciiTheme="minorEastAsia" w:hAnsiTheme="minorEastAsia" w:eastAsiaTheme="minorEastAsia" w:cstheme="minorEastAsia"/>
                <w:color w:val="auto"/>
                <w:sz w:val="24"/>
                <w:szCs w:val="24"/>
                <w:highlight w:val="none"/>
                <w:shd w:val="clear" w:fill="FFFFFF"/>
                <w:lang w:val="en-US" w:eastAsia="zh-CN"/>
              </w:rPr>
              <w:t>706331</w:t>
            </w:r>
          </w:p>
          <w:p w14:paraId="702F973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②采购代理机构：</w:t>
            </w:r>
            <w:r>
              <w:rPr>
                <w:rFonts w:hint="eastAsia" w:asciiTheme="minorEastAsia" w:hAnsiTheme="minorEastAsia" w:eastAsiaTheme="minorEastAsia" w:cstheme="minorEastAsia"/>
                <w:color w:val="auto"/>
                <w:sz w:val="24"/>
                <w:szCs w:val="24"/>
                <w:highlight w:val="none"/>
                <w:lang w:eastAsia="zh-CN"/>
              </w:rPr>
              <w:t>福建省卓诚招投标代理</w:t>
            </w:r>
            <w:r>
              <w:rPr>
                <w:rFonts w:hint="eastAsia" w:asciiTheme="minorEastAsia" w:hAnsiTheme="minorEastAsia" w:eastAsiaTheme="minorEastAsia" w:cstheme="minorEastAsia"/>
                <w:color w:val="auto"/>
                <w:sz w:val="24"/>
                <w:szCs w:val="24"/>
                <w:highlight w:val="none"/>
              </w:rPr>
              <w:t>有限</w:t>
            </w:r>
            <w:r>
              <w:rPr>
                <w:rFonts w:hint="eastAsia" w:asciiTheme="minorEastAsia" w:hAnsiTheme="minorEastAsia" w:eastAsiaTheme="minorEastAsia" w:cstheme="minorEastAsia"/>
                <w:color w:val="auto"/>
                <w:sz w:val="24"/>
                <w:szCs w:val="24"/>
                <w:highlight w:val="none"/>
                <w:lang w:eastAsia="zh-CN"/>
              </w:rPr>
              <w:t>责任</w:t>
            </w:r>
            <w:r>
              <w:rPr>
                <w:rFonts w:hint="eastAsia" w:asciiTheme="minorEastAsia" w:hAnsiTheme="minorEastAsia" w:eastAsiaTheme="minorEastAsia" w:cstheme="minorEastAsia"/>
                <w:color w:val="auto"/>
                <w:sz w:val="24"/>
                <w:szCs w:val="24"/>
                <w:highlight w:val="none"/>
              </w:rPr>
              <w:t>公司</w:t>
            </w:r>
          </w:p>
          <w:p w14:paraId="529471B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陈丽娜、张思婕</w:t>
            </w:r>
          </w:p>
          <w:p w14:paraId="25C37BC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联系方式：0591－83625873</w:t>
            </w:r>
          </w:p>
        </w:tc>
      </w:tr>
    </w:tbl>
    <w:p w14:paraId="5EE82536">
      <w:pPr>
        <w:pStyle w:val="2"/>
        <w:keepNext w:val="0"/>
        <w:keepLines w:val="0"/>
        <w:pageBreakBefore w:val="0"/>
        <w:widowControl w:val="0"/>
        <w:kinsoku/>
        <w:wordWrap/>
        <w:overflowPunct/>
        <w:topLinePunct w:val="0"/>
        <w:autoSpaceDE/>
        <w:autoSpaceDN/>
        <w:bidi w:val="0"/>
        <w:adjustRightInd/>
        <w:snapToGrid/>
        <w:spacing w:after="0" w:line="440" w:lineRule="exact"/>
        <w:ind w:right="0"/>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kern w:val="2"/>
          <w:sz w:val="24"/>
          <w:szCs w:val="24"/>
          <w:highlight w:val="none"/>
          <w:lang w:val="zh-CN" w:eastAsia="zh-CN" w:bidi="zh-CN"/>
        </w:rPr>
        <w:t>注：1、凡涉及知识产权事宜的服务商必须保证产权明晰，凡因产权所引起的一切纠纷及法律责任概由服务商负责。</w:t>
      </w:r>
    </w:p>
    <w:p w14:paraId="0D59E5A1">
      <w:pPr>
        <w:pStyle w:val="2"/>
        <w:keepNext w:val="0"/>
        <w:keepLines w:val="0"/>
        <w:pageBreakBefore w:val="0"/>
        <w:widowControl w:val="0"/>
        <w:kinsoku/>
        <w:wordWrap/>
        <w:overflowPunct/>
        <w:topLinePunct w:val="0"/>
        <w:autoSpaceDE/>
        <w:autoSpaceDN/>
        <w:bidi w:val="0"/>
        <w:adjustRightInd/>
        <w:snapToGrid/>
        <w:spacing w:after="0" w:line="440" w:lineRule="exact"/>
        <w:ind w:right="0" w:firstLine="480" w:firstLineChars="200"/>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kern w:val="2"/>
          <w:sz w:val="24"/>
          <w:szCs w:val="24"/>
          <w:highlight w:val="none"/>
          <w:lang w:val="zh-CN" w:eastAsia="zh-CN" w:bidi="zh-CN"/>
        </w:rPr>
        <w:t>2、服务商要认真、全面、综合地阅读、理解本征集文件及其澄清、修改、补充等文件，如有疑义，要按前附表的规定按时提出。征集人对服务商的任何推论、理解和结论不负责任。</w:t>
      </w:r>
    </w:p>
    <w:p w14:paraId="100AB513">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13" w:name="_Toc6324"/>
      <w:bookmarkStart w:id="14" w:name="_Toc987"/>
      <w:bookmarkStart w:id="15" w:name="_Toc1298"/>
      <w:r>
        <w:rPr>
          <w:rFonts w:hint="eastAsia" w:asciiTheme="minorEastAsia" w:hAnsiTheme="minorEastAsia" w:eastAsiaTheme="minorEastAsia" w:cstheme="minorEastAsia"/>
          <w:color w:val="auto"/>
          <w:sz w:val="32"/>
          <w:szCs w:val="32"/>
          <w:highlight w:val="none"/>
        </w:rPr>
        <w:t>一、说   明</w:t>
      </w:r>
      <w:bookmarkEnd w:id="13"/>
      <w:bookmarkEnd w:id="14"/>
      <w:bookmarkEnd w:id="15"/>
    </w:p>
    <w:p w14:paraId="5DCE5445">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1、适用范围</w:t>
      </w:r>
    </w:p>
    <w:p w14:paraId="339C444E">
      <w:pPr>
        <w:keepNext w:val="0"/>
        <w:keepLines w:val="0"/>
        <w:pageBreakBefore w:val="0"/>
        <w:widowControl w:val="0"/>
        <w:tabs>
          <w:tab w:val="left" w:pos="360"/>
        </w:tabs>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仅适用于</w:t>
      </w: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Token资源服务采购项目数据服务和数据产品第三方合规服务采购项目</w:t>
      </w:r>
      <w:r>
        <w:rPr>
          <w:rFonts w:hint="eastAsia" w:asciiTheme="minorEastAsia" w:hAnsiTheme="minorEastAsia" w:eastAsiaTheme="minorEastAsia" w:cstheme="minorEastAsia"/>
          <w:color w:val="auto"/>
          <w:sz w:val="24"/>
          <w:szCs w:val="24"/>
          <w:highlight w:val="none"/>
        </w:rPr>
        <w:t>。</w:t>
      </w:r>
    </w:p>
    <w:p w14:paraId="326D64C6">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2、定义</w:t>
      </w:r>
    </w:p>
    <w:p w14:paraId="6ADE0AE5">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”系指本次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项目的业主，即</w:t>
      </w:r>
      <w:r>
        <w:rPr>
          <w:rFonts w:hint="eastAsia" w:asciiTheme="minorEastAsia" w:hAnsiTheme="minorEastAsia" w:eastAsiaTheme="minorEastAsia" w:cstheme="minorEastAsia"/>
          <w:color w:val="auto"/>
          <w:sz w:val="24"/>
          <w:szCs w:val="24"/>
          <w:highlight w:val="none"/>
          <w:lang w:eastAsia="zh-CN"/>
        </w:rPr>
        <w:t>福建实达集团股份有限公司</w:t>
      </w:r>
      <w:r>
        <w:rPr>
          <w:rFonts w:hint="eastAsia" w:asciiTheme="minorEastAsia" w:hAnsiTheme="minorEastAsia" w:eastAsiaTheme="minorEastAsia" w:cstheme="minorEastAsia"/>
          <w:color w:val="auto"/>
          <w:sz w:val="24"/>
          <w:szCs w:val="24"/>
          <w:highlight w:val="none"/>
        </w:rPr>
        <w:t>。</w:t>
      </w:r>
    </w:p>
    <w:p w14:paraId="2EABE29E">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单位”系指组织本次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p>
    <w:p w14:paraId="7F93A4EB">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代理机构”系指本次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项目活动组织方。</w:t>
      </w:r>
    </w:p>
    <w:p w14:paraId="2C2AC23D">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”系指购买了本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，且已经提交或者准备提交本次</w:t>
      </w: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w:t>
      </w:r>
    </w:p>
    <w:p w14:paraId="2A287C65">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2.5“有效</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”系指符合本须知规定的所有</w:t>
      </w:r>
      <w:r>
        <w:rPr>
          <w:rFonts w:hint="eastAsia" w:asciiTheme="minorEastAsia" w:hAnsiTheme="minorEastAsia" w:eastAsiaTheme="minorEastAsia" w:cstheme="minorEastAsia"/>
          <w:color w:val="auto"/>
          <w:sz w:val="24"/>
          <w:szCs w:val="24"/>
          <w:highlight w:val="none"/>
          <w:lang w:eastAsia="zh-CN"/>
        </w:rPr>
        <w:t>征集</w:t>
      </w:r>
      <w:r>
        <w:rPr>
          <w:rFonts w:hint="eastAsia" w:asciiTheme="minorEastAsia" w:hAnsiTheme="minorEastAsia" w:eastAsiaTheme="minorEastAsia" w:cstheme="minorEastAsia"/>
          <w:color w:val="auto"/>
          <w:sz w:val="24"/>
          <w:szCs w:val="24"/>
          <w:highlight w:val="none"/>
        </w:rPr>
        <w:t>条件，且满足</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中实质性条款要求的</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w:t>
      </w:r>
    </w:p>
    <w:p w14:paraId="028E6F18">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“服务”系指</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规定中标人须承担的服务以及其他类似的义务。</w:t>
      </w:r>
    </w:p>
    <w:p w14:paraId="724797B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rPr>
        <w:t>3、合格的</w:t>
      </w:r>
      <w:r>
        <w:rPr>
          <w:rFonts w:hint="eastAsia" w:asciiTheme="minorEastAsia" w:hAnsiTheme="minorEastAsia" w:eastAsiaTheme="minorEastAsia" w:cstheme="minorEastAsia"/>
          <w:b/>
          <w:bCs w:val="0"/>
          <w:color w:val="auto"/>
          <w:sz w:val="24"/>
          <w:szCs w:val="24"/>
          <w:highlight w:val="none"/>
          <w:lang w:eastAsia="zh-CN"/>
        </w:rPr>
        <w:t>服务商</w:t>
      </w:r>
    </w:p>
    <w:p w14:paraId="2B0C8604">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3.1详见</w:t>
      </w:r>
      <w:r>
        <w:rPr>
          <w:rFonts w:hint="eastAsia" w:asciiTheme="minorEastAsia" w:hAnsiTheme="minorEastAsia" w:eastAsiaTheme="minorEastAsia" w:cstheme="minorEastAsia"/>
          <w:b/>
          <w:bCs/>
          <w:color w:val="auto"/>
          <w:sz w:val="24"/>
          <w:szCs w:val="24"/>
          <w:highlight w:val="none"/>
          <w:lang w:eastAsia="zh-CN"/>
        </w:rPr>
        <w:t>服务商</w:t>
      </w:r>
      <w:r>
        <w:rPr>
          <w:rFonts w:hint="eastAsia" w:asciiTheme="minorEastAsia" w:hAnsiTheme="minorEastAsia" w:eastAsiaTheme="minorEastAsia" w:cstheme="minorEastAsia"/>
          <w:b/>
          <w:bCs/>
          <w:color w:val="auto"/>
          <w:sz w:val="24"/>
          <w:szCs w:val="24"/>
          <w:highlight w:val="none"/>
        </w:rPr>
        <w:t>须知前附表中第</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项号的资格标准</w:t>
      </w:r>
      <w:r>
        <w:rPr>
          <w:rFonts w:hint="eastAsia" w:asciiTheme="minorEastAsia" w:hAnsiTheme="minorEastAsia" w:eastAsiaTheme="minorEastAsia" w:cstheme="minorEastAsia"/>
          <w:b/>
          <w:bCs/>
          <w:color w:val="auto"/>
          <w:sz w:val="24"/>
          <w:szCs w:val="24"/>
          <w:highlight w:val="none"/>
          <w:lang w:eastAsia="zh-CN"/>
        </w:rPr>
        <w:t>。</w:t>
      </w:r>
    </w:p>
    <w:p w14:paraId="3846685B">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3.2本项目不接受联合体申请</w:t>
      </w:r>
      <w:r>
        <w:rPr>
          <w:rFonts w:hint="eastAsia" w:asciiTheme="minorEastAsia" w:hAnsiTheme="minorEastAsia" w:eastAsiaTheme="minorEastAsia" w:cstheme="minorEastAsia"/>
          <w:color w:val="auto"/>
          <w:sz w:val="24"/>
          <w:szCs w:val="24"/>
          <w:highlight w:val="none"/>
        </w:rPr>
        <w:t>。</w:t>
      </w:r>
    </w:p>
    <w:p w14:paraId="5142166A">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4、投标费用</w:t>
      </w:r>
    </w:p>
    <w:p w14:paraId="53B3E9C8">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自行承担其准备与参加投标所涉及的一切费用。在任何情况下福建省卓诚招投标代理有限责任公司及</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不承担任何费用。</w:t>
      </w:r>
    </w:p>
    <w:p w14:paraId="71D74B98">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4.2采购代理机构向入围服务商收取采购代理服务费，采购代理服务费按1000.00 元/入围服务商收取。</w:t>
      </w:r>
    </w:p>
    <w:p w14:paraId="7F86B7CE">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采购理服务费缴纳账号信息如下： </w:t>
      </w:r>
    </w:p>
    <w:p w14:paraId="1BEC62F1">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开户银行：</w:t>
      </w:r>
      <w:r>
        <w:rPr>
          <w:rFonts w:hint="eastAsia" w:asciiTheme="minorEastAsia" w:hAnsiTheme="minorEastAsia" w:eastAsiaTheme="minorEastAsia" w:cstheme="minorEastAsia"/>
          <w:color w:val="auto"/>
          <w:sz w:val="24"/>
          <w:szCs w:val="24"/>
          <w:highlight w:val="none"/>
        </w:rPr>
        <w:t>中国建设银行股份有限公司福州福马支行</w:t>
      </w:r>
    </w:p>
    <w:p w14:paraId="30FEEF2D">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账户名称：</w:t>
      </w:r>
      <w:r>
        <w:rPr>
          <w:rFonts w:hint="eastAsia" w:asciiTheme="minorEastAsia" w:hAnsiTheme="minorEastAsia" w:eastAsiaTheme="minorEastAsia" w:cstheme="minorEastAsia"/>
          <w:color w:val="auto"/>
          <w:sz w:val="24"/>
          <w:szCs w:val="24"/>
          <w:highlight w:val="none"/>
        </w:rPr>
        <w:t>福建省卓诚招投标代理有限责任公司</w:t>
      </w:r>
    </w:p>
    <w:p w14:paraId="5DE2F3C0">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号：</w:t>
      </w:r>
      <w:r>
        <w:rPr>
          <w:rFonts w:hint="eastAsia" w:asciiTheme="minorEastAsia" w:hAnsiTheme="minorEastAsia" w:eastAsiaTheme="minorEastAsia" w:cstheme="minorEastAsia"/>
          <w:color w:val="auto"/>
          <w:sz w:val="24"/>
          <w:szCs w:val="24"/>
          <w:highlight w:val="none"/>
        </w:rPr>
        <w:t>3505 0161 3900 0000 0320</w:t>
      </w:r>
    </w:p>
    <w:p w14:paraId="376EA0CC">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4.3无论投标结果如何，服务商的申请文件均不退还。</w:t>
      </w:r>
    </w:p>
    <w:p w14:paraId="7E71990C">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lang w:eastAsia="zh-CN"/>
        </w:rPr>
      </w:pPr>
      <w:bookmarkStart w:id="16" w:name="_Toc25062"/>
      <w:bookmarkStart w:id="17" w:name="_Toc5698"/>
      <w:bookmarkStart w:id="18" w:name="_Toc5147"/>
      <w:bookmarkStart w:id="19" w:name="_Toc4659"/>
      <w:r>
        <w:rPr>
          <w:rFonts w:hint="eastAsia" w:asciiTheme="minorEastAsia" w:hAnsiTheme="minorEastAsia" w:eastAsiaTheme="minorEastAsia" w:cstheme="minorEastAsia"/>
          <w:color w:val="auto"/>
          <w:sz w:val="32"/>
          <w:szCs w:val="32"/>
          <w:highlight w:val="none"/>
        </w:rPr>
        <w:t>二、</w:t>
      </w:r>
      <w:bookmarkEnd w:id="16"/>
      <w:r>
        <w:rPr>
          <w:rFonts w:hint="eastAsia" w:asciiTheme="minorEastAsia" w:hAnsiTheme="minorEastAsia" w:eastAsiaTheme="minorEastAsia" w:cstheme="minorEastAsia"/>
          <w:color w:val="auto"/>
          <w:sz w:val="32"/>
          <w:szCs w:val="32"/>
          <w:highlight w:val="none"/>
          <w:lang w:eastAsia="zh-CN"/>
        </w:rPr>
        <w:t>征集文件</w:t>
      </w:r>
      <w:bookmarkEnd w:id="17"/>
      <w:bookmarkEnd w:id="18"/>
      <w:bookmarkEnd w:id="19"/>
    </w:p>
    <w:p w14:paraId="5A599CC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5、</w:t>
      </w:r>
      <w:r>
        <w:rPr>
          <w:rFonts w:hint="eastAsia" w:asciiTheme="minorEastAsia" w:hAnsiTheme="minorEastAsia" w:eastAsiaTheme="minorEastAsia" w:cstheme="minorEastAsia"/>
          <w:b/>
          <w:bCs w:val="0"/>
          <w:color w:val="auto"/>
          <w:sz w:val="24"/>
          <w:highlight w:val="none"/>
          <w:lang w:eastAsia="zh-CN"/>
        </w:rPr>
        <w:t>征集文件</w:t>
      </w:r>
      <w:r>
        <w:rPr>
          <w:rFonts w:hint="eastAsia" w:asciiTheme="minorEastAsia" w:hAnsiTheme="minorEastAsia" w:eastAsiaTheme="minorEastAsia" w:cstheme="minorEastAsia"/>
          <w:b/>
          <w:bCs w:val="0"/>
          <w:color w:val="auto"/>
          <w:sz w:val="24"/>
          <w:highlight w:val="none"/>
        </w:rPr>
        <w:t>的构成</w:t>
      </w:r>
    </w:p>
    <w:p w14:paraId="6329EFC8">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用以阐明所需服务、</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投标程序。</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由下述部分组成：</w:t>
      </w:r>
    </w:p>
    <w:p w14:paraId="172D8F7E">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5.1框架协议采购征集公告</w:t>
      </w:r>
    </w:p>
    <w:p w14:paraId="00349E2A">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须知</w:t>
      </w:r>
    </w:p>
    <w:p w14:paraId="55CEC81E">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lang w:eastAsia="zh-CN"/>
        </w:rPr>
        <w:t>征集内容及要求</w:t>
      </w:r>
    </w:p>
    <w:p w14:paraId="0679C089">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格式</w:t>
      </w:r>
    </w:p>
    <w:p w14:paraId="0A0E6EC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w:t>
      </w:r>
      <w:r>
        <w:rPr>
          <w:rFonts w:hint="eastAsia" w:asciiTheme="minorEastAsia" w:hAnsiTheme="minorEastAsia" w:eastAsiaTheme="minorEastAsia" w:cstheme="minorEastAsia"/>
          <w:b/>
          <w:bCs/>
          <w:color w:val="auto"/>
          <w:sz w:val="24"/>
          <w:highlight w:val="none"/>
          <w:lang w:eastAsia="zh-CN"/>
        </w:rPr>
        <w:t>征集文件</w:t>
      </w:r>
      <w:r>
        <w:rPr>
          <w:rFonts w:hint="eastAsia" w:asciiTheme="minorEastAsia" w:hAnsiTheme="minorEastAsia" w:eastAsiaTheme="minorEastAsia" w:cstheme="minorEastAsia"/>
          <w:b/>
          <w:bCs/>
          <w:color w:val="auto"/>
          <w:sz w:val="24"/>
          <w:highlight w:val="none"/>
        </w:rPr>
        <w:t>的澄清</w:t>
      </w:r>
    </w:p>
    <w:p w14:paraId="54EFCF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如有疑点，可要求澄清，</w:t>
      </w:r>
      <w:r>
        <w:rPr>
          <w:rFonts w:hint="eastAsia" w:asciiTheme="minorEastAsia" w:hAnsiTheme="minorEastAsia" w:eastAsiaTheme="minorEastAsia" w:cstheme="minorEastAsia"/>
          <w:color w:val="auto"/>
          <w:sz w:val="24"/>
          <w:highlight w:val="none"/>
          <w:lang w:eastAsia="zh-CN"/>
        </w:rPr>
        <w:t>并在获取征集文件之日起</w:t>
      </w:r>
      <w:r>
        <w:rPr>
          <w:rFonts w:hint="eastAsia" w:asciiTheme="minorEastAsia" w:hAnsiTheme="minorEastAsia" w:eastAsiaTheme="minorEastAsia" w:cstheme="minorEastAsia"/>
          <w:color w:val="auto"/>
          <w:sz w:val="24"/>
          <w:highlight w:val="none"/>
          <w:lang w:val="en-US" w:eastAsia="zh-CN"/>
        </w:rPr>
        <w:t>7个工作日内在征集公告</w:t>
      </w:r>
      <w:r>
        <w:rPr>
          <w:rFonts w:hint="eastAsia" w:asciiTheme="minorEastAsia" w:hAnsiTheme="minorEastAsia" w:eastAsiaTheme="minorEastAsia" w:cstheme="minorEastAsia"/>
          <w:color w:val="auto"/>
          <w:sz w:val="24"/>
          <w:highlight w:val="none"/>
        </w:rPr>
        <w:t>载明的地址以书面原件形式通知到</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代理机构将视情况确定采用适当方式予以澄清</w:t>
      </w:r>
      <w:r>
        <w:rPr>
          <w:rFonts w:hint="eastAsia" w:asciiTheme="minorEastAsia" w:hAnsiTheme="minorEastAsia" w:eastAsiaTheme="minorEastAsia" w:cstheme="minorEastAsia"/>
          <w:color w:val="auto"/>
          <w:sz w:val="24"/>
          <w:highlight w:val="none"/>
          <w:lang w:eastAsia="zh-CN"/>
        </w:rPr>
        <w:t>或</w:t>
      </w:r>
      <w:r>
        <w:rPr>
          <w:rFonts w:hint="eastAsia" w:asciiTheme="minorEastAsia" w:hAnsiTheme="minorEastAsia" w:eastAsiaTheme="minorEastAsia" w:cstheme="minorEastAsia"/>
          <w:color w:val="auto"/>
          <w:sz w:val="24"/>
          <w:highlight w:val="none"/>
        </w:rPr>
        <w:t>答复，并在其认为必要时，将以不标明查询来源的书面答复形式发给已领取</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的每一</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w:t>
      </w:r>
    </w:p>
    <w:p w14:paraId="6527A5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6.2</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对</w:t>
      </w:r>
      <w:r>
        <w:rPr>
          <w:rFonts w:hint="eastAsia" w:asciiTheme="minorEastAsia" w:hAnsiTheme="minorEastAsia" w:eastAsiaTheme="minorEastAsia" w:cstheme="minorEastAsia"/>
          <w:b w:val="0"/>
          <w:bCs/>
          <w:color w:val="auto"/>
          <w:sz w:val="24"/>
          <w:highlight w:val="none"/>
          <w:lang w:eastAsia="zh-CN"/>
        </w:rPr>
        <w:t>征集文件</w:t>
      </w:r>
      <w:r>
        <w:rPr>
          <w:rFonts w:hint="eastAsia" w:asciiTheme="minorEastAsia" w:hAnsiTheme="minorEastAsia" w:eastAsiaTheme="minorEastAsia" w:cstheme="minorEastAsia"/>
          <w:b w:val="0"/>
          <w:bCs/>
          <w:color w:val="auto"/>
          <w:sz w:val="24"/>
          <w:highlight w:val="none"/>
        </w:rPr>
        <w:t>提出质疑的,应以书面形式原件并携带企业营业执照副本复印件并加盖</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公章（原件备查，若无法提供原件或与原件不符，视为虚假质疑）送达</w:t>
      </w:r>
      <w:r>
        <w:rPr>
          <w:rFonts w:hint="eastAsia" w:asciiTheme="minorEastAsia" w:hAnsiTheme="minorEastAsia" w:eastAsiaTheme="minorEastAsia" w:cstheme="minorEastAsia"/>
          <w:b w:val="0"/>
          <w:bCs/>
          <w:color w:val="auto"/>
          <w:sz w:val="24"/>
          <w:highlight w:val="none"/>
          <w:lang w:eastAsia="zh-CN"/>
        </w:rPr>
        <w:t>采购</w:t>
      </w:r>
      <w:r>
        <w:rPr>
          <w:rFonts w:hint="eastAsia" w:asciiTheme="minorEastAsia" w:hAnsiTheme="minorEastAsia" w:eastAsiaTheme="minorEastAsia" w:cstheme="minorEastAsia"/>
          <w:b w:val="0"/>
          <w:bCs/>
          <w:color w:val="auto"/>
          <w:sz w:val="24"/>
          <w:highlight w:val="none"/>
        </w:rPr>
        <w:t>代理机构。</w:t>
      </w:r>
    </w:p>
    <w:p w14:paraId="00D14A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6.3</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未在规定时间内提出询问或者疑问，视为认同征集文件以及答疑文件内的所有要求，</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未按照征集文件、解答或者答疑要求响应的，后果自负。</w:t>
      </w:r>
    </w:p>
    <w:p w14:paraId="3B33B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6.4服务商要认真、全面、综合地阅读、理解本征集文件及其澄清、修改、补充等文件，征集人对服务商的任何推论、理解和结论不负责任</w:t>
      </w:r>
    </w:p>
    <w:p w14:paraId="4ECE8C7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w:t>
      </w:r>
      <w:r>
        <w:rPr>
          <w:rFonts w:hint="eastAsia" w:asciiTheme="minorEastAsia" w:hAnsiTheme="minorEastAsia" w:eastAsiaTheme="minorEastAsia" w:cstheme="minorEastAsia"/>
          <w:b/>
          <w:bCs/>
          <w:color w:val="auto"/>
          <w:sz w:val="24"/>
          <w:highlight w:val="none"/>
          <w:lang w:eastAsia="zh-CN"/>
        </w:rPr>
        <w:t>征集文件</w:t>
      </w:r>
      <w:r>
        <w:rPr>
          <w:rFonts w:hint="eastAsia" w:asciiTheme="minorEastAsia" w:hAnsiTheme="minorEastAsia" w:eastAsiaTheme="minorEastAsia" w:cstheme="minorEastAsia"/>
          <w:b/>
          <w:bCs/>
          <w:color w:val="auto"/>
          <w:sz w:val="24"/>
          <w:highlight w:val="none"/>
        </w:rPr>
        <w:t>的修改</w:t>
      </w:r>
    </w:p>
    <w:p w14:paraId="4A0F4A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7.1</w:t>
      </w:r>
      <w:r>
        <w:rPr>
          <w:rFonts w:hint="eastAsia" w:asciiTheme="minorEastAsia" w:hAnsiTheme="minorEastAsia" w:eastAsiaTheme="minorEastAsia" w:cstheme="minorEastAsia"/>
          <w:bCs/>
          <w:color w:val="auto"/>
          <w:sz w:val="24"/>
          <w:highlight w:val="none"/>
        </w:rPr>
        <w:t>除</w:t>
      </w:r>
      <w:r>
        <w:rPr>
          <w:rFonts w:hint="eastAsia" w:asciiTheme="minorEastAsia" w:hAnsiTheme="minorEastAsia" w:eastAsiaTheme="minorEastAsia" w:cstheme="minorEastAsia"/>
          <w:bCs/>
          <w:color w:val="auto"/>
          <w:sz w:val="24"/>
          <w:highlight w:val="none"/>
          <w:lang w:eastAsia="zh-CN"/>
        </w:rPr>
        <w:t>第</w:t>
      </w:r>
      <w:r>
        <w:rPr>
          <w:rFonts w:hint="eastAsia" w:asciiTheme="minorEastAsia" w:hAnsiTheme="minorEastAsia" w:eastAsiaTheme="minorEastAsia" w:cstheme="minorEastAsia"/>
          <w:bCs/>
          <w:color w:val="auto"/>
          <w:sz w:val="24"/>
          <w:highlight w:val="none"/>
          <w:lang w:val="en-US" w:eastAsia="zh-CN"/>
        </w:rPr>
        <w:t>5点征集文件的构成</w:t>
      </w:r>
      <w:r>
        <w:rPr>
          <w:rFonts w:hint="eastAsia" w:asciiTheme="minorEastAsia" w:hAnsiTheme="minorEastAsia" w:eastAsiaTheme="minorEastAsia" w:cstheme="minorEastAsia"/>
          <w:bCs/>
          <w:color w:val="auto"/>
          <w:sz w:val="24"/>
          <w:highlight w:val="none"/>
        </w:rPr>
        <w:t>内容外，在提交响应文件截止时间前，征集人以书面形式发出的对征集文件的澄清或修改内容，均为征集文件的组成部分，对征集人和</w:t>
      </w:r>
      <w:r>
        <w:rPr>
          <w:rFonts w:hint="eastAsia" w:asciiTheme="minorEastAsia" w:hAnsiTheme="minorEastAsia" w:eastAsiaTheme="minorEastAsia" w:cstheme="minorEastAsia"/>
          <w:bCs/>
          <w:color w:val="auto"/>
          <w:sz w:val="24"/>
          <w:highlight w:val="none"/>
          <w:lang w:eastAsia="zh-CN"/>
        </w:rPr>
        <w:t>服务商</w:t>
      </w:r>
      <w:r>
        <w:rPr>
          <w:rFonts w:hint="eastAsia" w:asciiTheme="minorEastAsia" w:hAnsiTheme="minorEastAsia" w:eastAsiaTheme="minorEastAsia" w:cstheme="minorEastAsia"/>
          <w:bCs/>
          <w:color w:val="auto"/>
          <w:sz w:val="24"/>
          <w:highlight w:val="none"/>
        </w:rPr>
        <w:t>起约束作用。</w:t>
      </w:r>
    </w:p>
    <w:p w14:paraId="179E1F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pacing w:val="-4"/>
          <w:sz w:val="24"/>
          <w:highlight w:val="none"/>
          <w:lang w:eastAsia="zh-CN"/>
        </w:rPr>
        <w:t>服务商</w:t>
      </w:r>
      <w:r>
        <w:rPr>
          <w:rFonts w:hint="eastAsia" w:asciiTheme="minorEastAsia" w:hAnsiTheme="minorEastAsia" w:eastAsiaTheme="minorEastAsia" w:cstheme="minorEastAsia"/>
          <w:color w:val="auto"/>
          <w:spacing w:val="-4"/>
          <w:sz w:val="24"/>
          <w:highlight w:val="none"/>
        </w:rPr>
        <w:t>获取征集文件后，应仔细查阅征集文件所有内容，如有残缺应在领到</w:t>
      </w:r>
      <w:r>
        <w:rPr>
          <w:rFonts w:hint="eastAsia" w:asciiTheme="minorEastAsia" w:hAnsiTheme="minorEastAsia" w:eastAsiaTheme="minorEastAsia" w:cstheme="minorEastAsia"/>
          <w:color w:val="auto"/>
          <w:spacing w:val="-10"/>
          <w:sz w:val="24"/>
          <w:highlight w:val="none"/>
        </w:rPr>
        <w:t xml:space="preserve">征集文件后 </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11"/>
          <w:sz w:val="24"/>
          <w:highlight w:val="none"/>
        </w:rPr>
        <w:t xml:space="preserve"> 日内向代理机构提出，否则由此引起的损失由</w:t>
      </w:r>
      <w:r>
        <w:rPr>
          <w:rFonts w:hint="eastAsia" w:asciiTheme="minorEastAsia" w:hAnsiTheme="minorEastAsia" w:eastAsiaTheme="minorEastAsia" w:cstheme="minorEastAsia"/>
          <w:color w:val="auto"/>
          <w:spacing w:val="-11"/>
          <w:sz w:val="24"/>
          <w:highlight w:val="none"/>
          <w:lang w:eastAsia="zh-CN"/>
        </w:rPr>
        <w:t>服务商</w:t>
      </w:r>
      <w:r>
        <w:rPr>
          <w:rFonts w:hint="eastAsia" w:asciiTheme="minorEastAsia" w:hAnsiTheme="minorEastAsia" w:eastAsiaTheme="minorEastAsia" w:cstheme="minorEastAsia"/>
          <w:color w:val="auto"/>
          <w:spacing w:val="-11"/>
          <w:sz w:val="24"/>
          <w:highlight w:val="none"/>
        </w:rPr>
        <w:t>自行承担；</w:t>
      </w:r>
      <w:r>
        <w:rPr>
          <w:rFonts w:hint="eastAsia" w:asciiTheme="minorEastAsia" w:hAnsiTheme="minorEastAsia" w:eastAsiaTheme="minorEastAsia" w:cstheme="minorEastAsia"/>
          <w:color w:val="auto"/>
          <w:spacing w:val="-11"/>
          <w:sz w:val="24"/>
          <w:highlight w:val="none"/>
          <w:lang w:eastAsia="zh-CN"/>
        </w:rPr>
        <w:t>服务商</w:t>
      </w:r>
      <w:r>
        <w:rPr>
          <w:rFonts w:hint="eastAsia" w:asciiTheme="minorEastAsia" w:hAnsiTheme="minorEastAsia" w:eastAsiaTheme="minorEastAsia" w:cstheme="minorEastAsia"/>
          <w:color w:val="auto"/>
          <w:spacing w:val="-4"/>
          <w:sz w:val="24"/>
          <w:highlight w:val="none"/>
        </w:rPr>
        <w:t>同时应认真审阅征集文件中所有的事项、格式、条款和规范要求等内容，如果</w:t>
      </w:r>
      <w:r>
        <w:rPr>
          <w:rFonts w:hint="eastAsia" w:asciiTheme="minorEastAsia" w:hAnsiTheme="minorEastAsia" w:eastAsiaTheme="minorEastAsia" w:cstheme="minorEastAsia"/>
          <w:color w:val="auto"/>
          <w:spacing w:val="-4"/>
          <w:sz w:val="24"/>
          <w:highlight w:val="none"/>
          <w:lang w:eastAsia="zh-CN"/>
        </w:rPr>
        <w:t>服务商</w:t>
      </w:r>
      <w:r>
        <w:rPr>
          <w:rFonts w:hint="eastAsia" w:asciiTheme="minorEastAsia" w:hAnsiTheme="minorEastAsia" w:eastAsiaTheme="minorEastAsia" w:cstheme="minorEastAsia"/>
          <w:color w:val="auto"/>
          <w:sz w:val="24"/>
          <w:highlight w:val="none"/>
        </w:rPr>
        <w:t>没有按照征集文件的要求提交全部资料或响应文件没有对征集文件做出实质性的响应，该响应文件有可能被拒绝。</w:t>
      </w:r>
    </w:p>
    <w:p w14:paraId="3C334E6D">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0" w:name="_Toc3736"/>
      <w:bookmarkStart w:id="21" w:name="_Toc25827"/>
      <w:bookmarkStart w:id="22" w:name="_Toc20680"/>
      <w:bookmarkStart w:id="23" w:name="_Toc208"/>
      <w:r>
        <w:rPr>
          <w:rFonts w:hint="eastAsia" w:asciiTheme="minorEastAsia" w:hAnsiTheme="minorEastAsia" w:eastAsiaTheme="minorEastAsia" w:cstheme="minorEastAsia"/>
          <w:color w:val="auto"/>
          <w:sz w:val="32"/>
          <w:szCs w:val="32"/>
          <w:highlight w:val="none"/>
        </w:rPr>
        <w:t>三、</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的编写</w:t>
      </w:r>
      <w:bookmarkEnd w:id="20"/>
      <w:bookmarkEnd w:id="21"/>
      <w:bookmarkEnd w:id="22"/>
      <w:bookmarkEnd w:id="23"/>
    </w:p>
    <w:p w14:paraId="3DEF482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8、提示</w:t>
      </w:r>
    </w:p>
    <w:p w14:paraId="12C99A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应仔细阅读</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的所有内容，按照</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的要求提交</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的要求作出实质性响应，并保证所提供的全部资料的真实性，否则其</w:t>
      </w:r>
      <w:r>
        <w:rPr>
          <w:rFonts w:hint="eastAsia" w:asciiTheme="minorEastAsia" w:hAnsiTheme="minorEastAsia" w:eastAsiaTheme="minorEastAsia" w:cstheme="minorEastAsia"/>
          <w:color w:val="auto"/>
          <w:sz w:val="24"/>
          <w:highlight w:val="none"/>
          <w:lang w:eastAsia="zh-CN"/>
        </w:rPr>
        <w:t>申请</w:t>
      </w:r>
      <w:r>
        <w:rPr>
          <w:rFonts w:hint="eastAsia" w:asciiTheme="minorEastAsia" w:hAnsiTheme="minorEastAsia" w:eastAsiaTheme="minorEastAsia" w:cstheme="minorEastAsia"/>
          <w:color w:val="auto"/>
          <w:sz w:val="24"/>
          <w:highlight w:val="none"/>
        </w:rPr>
        <w:t>无效。</w:t>
      </w:r>
    </w:p>
    <w:p w14:paraId="203F6AF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9</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w:t>
      </w:r>
      <w:r>
        <w:rPr>
          <w:rFonts w:hint="eastAsia" w:asciiTheme="minorEastAsia" w:hAnsiTheme="minorEastAsia" w:eastAsiaTheme="minorEastAsia" w:cstheme="minorEastAsia"/>
          <w:b/>
          <w:bCs w:val="0"/>
          <w:color w:val="auto"/>
          <w:sz w:val="24"/>
          <w:highlight w:val="none"/>
        </w:rPr>
        <w:t>保证金</w:t>
      </w:r>
    </w:p>
    <w:p w14:paraId="3614BF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本项目不收取申请保证金</w:t>
      </w:r>
      <w:r>
        <w:rPr>
          <w:rFonts w:hint="eastAsia" w:asciiTheme="minorEastAsia" w:hAnsiTheme="minorEastAsia" w:eastAsiaTheme="minorEastAsia" w:cstheme="minorEastAsia"/>
          <w:color w:val="auto"/>
          <w:sz w:val="24"/>
          <w:highlight w:val="none"/>
        </w:rPr>
        <w:t>。</w:t>
      </w:r>
    </w:p>
    <w:p w14:paraId="7AFC6BA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10</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的格式</w:t>
      </w:r>
    </w:p>
    <w:p w14:paraId="096059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color w:val="auto"/>
          <w:sz w:val="24"/>
          <w:highlight w:val="none"/>
          <w:u w:val="single"/>
          <w:shd w:val="pct10" w:color="auto" w:fill="FFFFFF"/>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的编制：详见</w:t>
      </w:r>
      <w:r>
        <w:rPr>
          <w:rFonts w:hint="eastAsia" w:asciiTheme="minorEastAsia" w:hAnsiTheme="minorEastAsia" w:eastAsiaTheme="minorEastAsia" w:cstheme="minorEastAsia"/>
          <w:color w:val="auto"/>
          <w:sz w:val="24"/>
          <w:highlight w:val="none"/>
          <w:lang w:eastAsia="zh-CN"/>
        </w:rPr>
        <w:t>第四章申请文件格式</w:t>
      </w:r>
      <w:r>
        <w:rPr>
          <w:rFonts w:hint="eastAsia" w:asciiTheme="minorEastAsia" w:hAnsiTheme="minorEastAsia" w:eastAsiaTheme="minorEastAsia" w:cstheme="minorEastAsia"/>
          <w:color w:val="auto"/>
          <w:sz w:val="24"/>
          <w:highlight w:val="none"/>
        </w:rPr>
        <w:t>。</w:t>
      </w:r>
    </w:p>
    <w:p w14:paraId="1BDB48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应由</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的法定代表人或者其授权代表签字并加盖公章，如由后者签字，应提供“法定代表人授权委托书”及授权人与被授权人身份证复印件。</w:t>
      </w:r>
    </w:p>
    <w:p w14:paraId="4302C2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的正本和全部副本均应使用不能擦去的墨料或墨水打印、书写或复印，并由法定代表人或其授权代表签署，</w:t>
      </w:r>
      <w:r>
        <w:rPr>
          <w:rFonts w:hint="eastAsia" w:asciiTheme="minorEastAsia" w:hAnsiTheme="minorEastAsia" w:eastAsiaTheme="minorEastAsia" w:cstheme="minorEastAsia"/>
          <w:color w:val="auto"/>
          <w:sz w:val="24"/>
          <w:highlight w:val="none"/>
          <w:lang w:val="en-US" w:eastAsia="zh-CN"/>
        </w:rPr>
        <w:t>加</w:t>
      </w:r>
      <w:r>
        <w:rPr>
          <w:rFonts w:hint="eastAsia" w:asciiTheme="minorEastAsia" w:hAnsiTheme="minorEastAsia" w:eastAsiaTheme="minorEastAsia" w:cstheme="minorEastAsia"/>
          <w:color w:val="auto"/>
          <w:sz w:val="24"/>
          <w:highlight w:val="none"/>
        </w:rPr>
        <w:t>盖</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公章。</w:t>
      </w:r>
    </w:p>
    <w:p w14:paraId="5C9E8E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全套</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应无涂改和行间插字，除非这些改动是根据</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代理机构的指示进行的，或者是为改正</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造成的必须修改的错误而进行的。有改动时，修改处应由授权代表签署证明或加盖校正章。</w:t>
      </w:r>
    </w:p>
    <w:p w14:paraId="017D1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未按本须知规定的格式填写</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字迹模糊不清的，其投标无效。</w:t>
      </w:r>
    </w:p>
    <w:p w14:paraId="2097EF43">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4" w:name="_Toc23198"/>
      <w:bookmarkStart w:id="25" w:name="_Toc6304"/>
      <w:bookmarkStart w:id="26" w:name="_Toc12947"/>
      <w:bookmarkStart w:id="27" w:name="_Toc20020"/>
      <w:r>
        <w:rPr>
          <w:rFonts w:hint="eastAsia" w:asciiTheme="minorEastAsia" w:hAnsiTheme="minorEastAsia" w:eastAsiaTheme="minorEastAsia" w:cstheme="minorEastAsia"/>
          <w:color w:val="auto"/>
          <w:sz w:val="32"/>
          <w:szCs w:val="32"/>
          <w:highlight w:val="none"/>
        </w:rPr>
        <w:t>四、</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的递交</w:t>
      </w:r>
      <w:bookmarkEnd w:id="24"/>
      <w:bookmarkEnd w:id="25"/>
      <w:bookmarkEnd w:id="26"/>
      <w:bookmarkEnd w:id="27"/>
    </w:p>
    <w:p w14:paraId="39EE41F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1</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的密封、标记和递交</w:t>
      </w:r>
    </w:p>
    <w:p w14:paraId="3A5BE3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应将</w:t>
      </w:r>
      <w:r>
        <w:rPr>
          <w:rFonts w:hint="eastAsia" w:asciiTheme="minorEastAsia" w:hAnsiTheme="minorEastAsia" w:eastAsiaTheme="minorEastAsia" w:cstheme="minorEastAsia"/>
          <w:b/>
          <w:bCs/>
          <w:color w:val="auto"/>
          <w:sz w:val="24"/>
          <w:highlight w:val="none"/>
          <w:lang w:val="en-US" w:eastAsia="zh-CN"/>
        </w:rPr>
        <w:t>所有</w:t>
      </w:r>
      <w:r>
        <w:rPr>
          <w:rFonts w:hint="eastAsia" w:asciiTheme="minorEastAsia" w:hAnsiTheme="minorEastAsia" w:eastAsiaTheme="minorEastAsia" w:cstheme="minorEastAsia"/>
          <w:b/>
          <w:bCs/>
          <w:color w:val="auto"/>
          <w:sz w:val="24"/>
          <w:highlight w:val="none"/>
        </w:rPr>
        <w:t>正本和全部副本分别密封，并标明</w:t>
      </w:r>
      <w:r>
        <w:rPr>
          <w:rFonts w:hint="eastAsia" w:asciiTheme="minorEastAsia" w:hAnsiTheme="minorEastAsia" w:eastAsiaTheme="minorEastAsia" w:cstheme="minorEastAsia"/>
          <w:b/>
          <w:bCs/>
          <w:color w:val="auto"/>
          <w:sz w:val="24"/>
          <w:highlight w:val="none"/>
          <w:lang w:eastAsia="zh-CN"/>
        </w:rPr>
        <w:t>项目编号</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名称、</w:t>
      </w:r>
      <w:r>
        <w:rPr>
          <w:rFonts w:hint="eastAsia" w:asciiTheme="minorEastAsia" w:hAnsiTheme="minorEastAsia" w:eastAsiaTheme="minorEastAsia" w:cstheme="minorEastAsia"/>
          <w:b/>
          <w:bCs/>
          <w:color w:val="auto"/>
          <w:sz w:val="24"/>
          <w:highlight w:val="none"/>
          <w:lang w:eastAsia="zh-CN"/>
        </w:rPr>
        <w:t>项目</w:t>
      </w:r>
      <w:r>
        <w:rPr>
          <w:rFonts w:hint="eastAsia" w:asciiTheme="minorEastAsia" w:hAnsiTheme="minorEastAsia" w:eastAsiaTheme="minorEastAsia" w:cstheme="minorEastAsia"/>
          <w:b/>
          <w:bCs/>
          <w:color w:val="auto"/>
          <w:sz w:val="24"/>
          <w:highlight w:val="none"/>
        </w:rPr>
        <w:t>名称及“正本”或“副本”字样。</w:t>
      </w:r>
      <w:r>
        <w:rPr>
          <w:rFonts w:hint="eastAsia" w:asciiTheme="minorEastAsia" w:hAnsiTheme="minorEastAsia" w:eastAsiaTheme="minorEastAsia" w:cstheme="minorEastAsia"/>
          <w:b/>
          <w:bCs/>
          <w:color w:val="auto"/>
          <w:spacing w:val="-12"/>
          <w:sz w:val="24"/>
          <w:highlight w:val="none"/>
        </w:rPr>
        <w:t>每</w:t>
      </w:r>
      <w:r>
        <w:rPr>
          <w:rFonts w:hint="eastAsia" w:asciiTheme="minorEastAsia" w:hAnsiTheme="minorEastAsia" w:eastAsiaTheme="minorEastAsia" w:cstheme="minorEastAsia"/>
          <w:b/>
          <w:bCs/>
          <w:color w:val="auto"/>
          <w:spacing w:val="-12"/>
          <w:sz w:val="24"/>
          <w:highlight w:val="none"/>
          <w:lang w:val="en-US" w:eastAsia="zh-CN"/>
        </w:rPr>
        <w:t>个</w:t>
      </w:r>
      <w:r>
        <w:rPr>
          <w:rFonts w:hint="eastAsia" w:asciiTheme="minorEastAsia" w:hAnsiTheme="minorEastAsia" w:eastAsiaTheme="minorEastAsia" w:cstheme="minorEastAsia"/>
          <w:b/>
          <w:bCs/>
          <w:color w:val="auto"/>
          <w:spacing w:val="-12"/>
          <w:sz w:val="24"/>
          <w:highlight w:val="none"/>
        </w:rPr>
        <w:t>密封处应注明“不准启封”的</w:t>
      </w:r>
      <w:r>
        <w:rPr>
          <w:rFonts w:hint="eastAsia" w:asciiTheme="minorEastAsia" w:hAnsiTheme="minorEastAsia" w:eastAsiaTheme="minorEastAsia" w:cstheme="minorEastAsia"/>
          <w:b/>
          <w:bCs/>
          <w:color w:val="auto"/>
          <w:spacing w:val="-18"/>
          <w:sz w:val="24"/>
          <w:highlight w:val="none"/>
        </w:rPr>
        <w:t>字样</w:t>
      </w:r>
      <w:r>
        <w:rPr>
          <w:rFonts w:hint="eastAsia" w:asciiTheme="minorEastAsia" w:hAnsiTheme="minorEastAsia" w:eastAsiaTheme="minorEastAsia" w:cstheme="minorEastAsia"/>
          <w:b/>
          <w:bCs/>
          <w:color w:val="auto"/>
          <w:sz w:val="24"/>
          <w:highlight w:val="none"/>
        </w:rPr>
        <w:t>，并加盖</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公章。</w:t>
      </w:r>
    </w:p>
    <w:p w14:paraId="4F1F5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未按照本须知第1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.1条的规定要求进行密封和标记将导致</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被拒绝，</w:t>
      </w:r>
      <w:r>
        <w:rPr>
          <w:rFonts w:hint="eastAsia" w:asciiTheme="minorEastAsia" w:hAnsiTheme="minorEastAsia" w:eastAsiaTheme="minorEastAsia" w:cstheme="minorEastAsia"/>
          <w:color w:val="auto"/>
          <w:sz w:val="24"/>
          <w:highlight w:val="none"/>
          <w:lang w:eastAsia="zh-CN"/>
        </w:rPr>
        <w:t>申请</w:t>
      </w:r>
      <w:r>
        <w:rPr>
          <w:rFonts w:hint="eastAsia" w:asciiTheme="minorEastAsia" w:hAnsiTheme="minorEastAsia" w:eastAsiaTheme="minorEastAsia" w:cstheme="minorEastAsia"/>
          <w:color w:val="auto"/>
          <w:sz w:val="24"/>
          <w:highlight w:val="none"/>
        </w:rPr>
        <w:t>无效。</w:t>
      </w:r>
    </w:p>
    <w:p w14:paraId="562703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.3如果</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由邮局或专人送交，投标方应将</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按照本须知1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.1条的规定进行密封和标记后，按</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须知前附表注明的地址送至接收人。</w:t>
      </w:r>
    </w:p>
    <w:p w14:paraId="5C60D2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.4如果未按上述规定进行密封和标记，</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代理机构将不承担由此造成的对</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的误投或提前拆封的责任。</w:t>
      </w:r>
    </w:p>
    <w:p w14:paraId="45DAAAB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8" w:name="_Toc24929"/>
      <w:bookmarkStart w:id="29" w:name="_Toc7259"/>
      <w:bookmarkStart w:id="30" w:name="_Toc2146"/>
      <w:bookmarkStart w:id="31" w:name="_Toc1899"/>
      <w:r>
        <w:rPr>
          <w:rFonts w:hint="eastAsia" w:asciiTheme="minorEastAsia" w:hAnsiTheme="minorEastAsia" w:eastAsiaTheme="minorEastAsia" w:cstheme="minorEastAsia"/>
          <w:color w:val="auto"/>
          <w:sz w:val="32"/>
          <w:szCs w:val="32"/>
          <w:highlight w:val="none"/>
        </w:rPr>
        <w:t>五、</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的评估和比较</w:t>
      </w:r>
      <w:bookmarkEnd w:id="28"/>
      <w:bookmarkEnd w:id="29"/>
      <w:bookmarkEnd w:id="30"/>
      <w:bookmarkEnd w:id="31"/>
    </w:p>
    <w:p w14:paraId="6B94E2F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lang w:eastAsia="zh-CN"/>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2</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w:t>
      </w:r>
      <w:r>
        <w:rPr>
          <w:rFonts w:hint="eastAsia" w:asciiTheme="minorEastAsia" w:hAnsiTheme="minorEastAsia" w:eastAsiaTheme="minorEastAsia" w:cstheme="minorEastAsia"/>
          <w:b/>
          <w:bCs w:val="0"/>
          <w:color w:val="auto"/>
          <w:sz w:val="24"/>
          <w:highlight w:val="none"/>
          <w:lang w:eastAsia="zh-CN"/>
        </w:rPr>
        <w:t>审核</w:t>
      </w:r>
    </w:p>
    <w:p w14:paraId="2D464F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12.1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提供的相应证明材料复印件均应符合：内容完整、清晰、整洁、最新、有效，并由</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加盖其单位公章，否则按无效响应处理。有年检要求的应符合规定。有变更事宜的，变更文件应附齐全。征集人对</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所提供的资格类文件仅负审核责任。即使其所提交的资格类文件通过了审核，确定入围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后，如发现所提供的资格类文件不合法或不真实，仍可废除其入围资格并追究入围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的法律责任。</w:t>
      </w:r>
    </w:p>
    <w:p w14:paraId="0AEBF7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w:t>
      </w: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申请后7个工作日内完成审核，并将审核结果书面通知申请</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在审核通过后2个工作日内，发布入围结果公告，公告入围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名称、地址、联系方式，并动态更新入围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信息。本项目不再签订书面框架协议，发布入围结果公告，视为签订框架协议。</w:t>
      </w:r>
    </w:p>
    <w:p w14:paraId="6524B1FF">
      <w:pPr>
        <w:pStyle w:val="27"/>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highlight w:val="none"/>
          <w:lang w:val="en-US" w:eastAsia="zh-CN"/>
        </w:rPr>
        <w:t>12.3资格及符合性审查，</w:t>
      </w:r>
      <w:r>
        <w:rPr>
          <w:rFonts w:hint="eastAsia" w:asciiTheme="minorEastAsia" w:hAnsiTheme="minorEastAsia" w:eastAsiaTheme="minorEastAsia" w:cstheme="minorEastAsia"/>
          <w:color w:val="auto"/>
          <w:kern w:val="0"/>
          <w:sz w:val="24"/>
          <w:szCs w:val="24"/>
          <w:highlight w:val="none"/>
        </w:rPr>
        <w:t>有下列情形之一的，</w:t>
      </w:r>
      <w:r>
        <w:rPr>
          <w:rFonts w:hint="eastAsia" w:asciiTheme="minorEastAsia" w:hAnsiTheme="minorEastAsia" w:eastAsiaTheme="minorEastAsia" w:cstheme="minorEastAsia"/>
          <w:b/>
          <w:bCs/>
          <w:color w:val="auto"/>
          <w:kern w:val="0"/>
          <w:sz w:val="24"/>
          <w:szCs w:val="24"/>
          <w:highlight w:val="none"/>
        </w:rPr>
        <w:t>资格</w:t>
      </w:r>
      <w:r>
        <w:rPr>
          <w:rFonts w:hint="eastAsia" w:asciiTheme="minorEastAsia" w:hAnsiTheme="minorEastAsia" w:eastAsiaTheme="minorEastAsia" w:cstheme="minorEastAsia"/>
          <w:b/>
          <w:bCs/>
          <w:color w:val="auto"/>
          <w:kern w:val="0"/>
          <w:sz w:val="24"/>
          <w:szCs w:val="24"/>
          <w:highlight w:val="none"/>
          <w:lang w:eastAsia="zh-CN"/>
        </w:rPr>
        <w:t>性符合性</w:t>
      </w:r>
      <w:r>
        <w:rPr>
          <w:rFonts w:hint="eastAsia" w:asciiTheme="minorEastAsia" w:hAnsiTheme="minorEastAsia" w:eastAsiaTheme="minorEastAsia" w:cstheme="minorEastAsia"/>
          <w:b/>
          <w:bCs/>
          <w:color w:val="auto"/>
          <w:kern w:val="0"/>
          <w:sz w:val="24"/>
          <w:szCs w:val="24"/>
          <w:highlight w:val="none"/>
        </w:rPr>
        <w:t>审查不合格：</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760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469FF9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b/>
                <w:bCs/>
                <w:color w:val="auto"/>
                <w:kern w:val="0"/>
                <w:sz w:val="24"/>
                <w:szCs w:val="24"/>
                <w:highlight w:val="none"/>
              </w:rPr>
              <w:t>明细</w:t>
            </w:r>
          </w:p>
        </w:tc>
      </w:tr>
      <w:tr w14:paraId="4FF3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3F0E88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未按照</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规定提交</w:t>
            </w:r>
            <w:r>
              <w:rPr>
                <w:rFonts w:hint="eastAsia" w:asciiTheme="minorEastAsia" w:hAnsiTheme="minorEastAsia" w:eastAsiaTheme="minorEastAsia" w:cstheme="minorEastAsia"/>
                <w:color w:val="auto"/>
                <w:kern w:val="0"/>
                <w:sz w:val="24"/>
                <w:szCs w:val="24"/>
                <w:highlight w:val="none"/>
                <w:lang w:eastAsia="zh-CN"/>
              </w:rPr>
              <w:t>资格证明材料</w:t>
            </w:r>
          </w:p>
        </w:tc>
      </w:tr>
      <w:tr w14:paraId="7660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FF9D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申请文件</w:t>
            </w: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实质性要求的响应存在重大偏离或保留</w:t>
            </w:r>
            <w:r>
              <w:rPr>
                <w:rFonts w:hint="eastAsia" w:asciiTheme="minorEastAsia" w:hAnsiTheme="minorEastAsia" w:eastAsiaTheme="minorEastAsia" w:cstheme="minorEastAsia"/>
                <w:color w:val="auto"/>
                <w:kern w:val="0"/>
                <w:sz w:val="24"/>
                <w:szCs w:val="24"/>
                <w:highlight w:val="none"/>
                <w:lang w:eastAsia="zh-CN"/>
              </w:rPr>
              <w:t>；</w:t>
            </w:r>
          </w:p>
        </w:tc>
      </w:tr>
      <w:tr w14:paraId="5C45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89CB4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申请文件</w:t>
            </w:r>
            <w:r>
              <w:rPr>
                <w:rFonts w:hint="eastAsia" w:asciiTheme="minorEastAsia" w:hAnsiTheme="minorEastAsia" w:eastAsiaTheme="minorEastAsia" w:cstheme="minorEastAsia"/>
                <w:color w:val="auto"/>
                <w:kern w:val="0"/>
                <w:sz w:val="24"/>
                <w:szCs w:val="24"/>
                <w:highlight w:val="none"/>
              </w:rPr>
              <w:t>未按照本须知</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规定进行编制、密封、标记的；</w:t>
            </w:r>
          </w:p>
        </w:tc>
      </w:tr>
      <w:tr w14:paraId="151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2D6D9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未按文件格式规定由</w:t>
            </w:r>
            <w:r>
              <w:rPr>
                <w:rFonts w:hint="eastAsia" w:asciiTheme="minorEastAsia" w:hAnsiTheme="minorEastAsia" w:eastAsiaTheme="minorEastAsia" w:cstheme="minorEastAsia"/>
                <w:color w:val="auto"/>
                <w:kern w:val="0"/>
                <w:sz w:val="24"/>
                <w:szCs w:val="24"/>
                <w:highlight w:val="none"/>
                <w:lang w:eastAsia="zh-CN"/>
              </w:rPr>
              <w:t>服务商</w:t>
            </w:r>
            <w:r>
              <w:rPr>
                <w:rFonts w:hint="eastAsia" w:asciiTheme="minorEastAsia" w:hAnsiTheme="minorEastAsia" w:eastAsiaTheme="minorEastAsia" w:cstheme="minorEastAsia"/>
                <w:color w:val="auto"/>
                <w:kern w:val="0"/>
                <w:sz w:val="24"/>
                <w:szCs w:val="24"/>
                <w:highlight w:val="none"/>
              </w:rPr>
              <w:t>的法定代表人或其授权代表签字，或未逐页加盖</w:t>
            </w:r>
            <w:r>
              <w:rPr>
                <w:rFonts w:hint="eastAsia" w:asciiTheme="minorEastAsia" w:hAnsiTheme="minorEastAsia" w:eastAsiaTheme="minorEastAsia" w:cstheme="minorEastAsia"/>
                <w:color w:val="auto"/>
                <w:kern w:val="0"/>
                <w:sz w:val="24"/>
                <w:szCs w:val="24"/>
                <w:highlight w:val="none"/>
                <w:lang w:eastAsia="zh-CN"/>
              </w:rPr>
              <w:t>服务商</w:t>
            </w:r>
            <w:r>
              <w:rPr>
                <w:rFonts w:hint="eastAsia" w:asciiTheme="minorEastAsia" w:hAnsiTheme="minorEastAsia" w:eastAsiaTheme="minorEastAsia" w:cstheme="minorEastAsia"/>
                <w:color w:val="auto"/>
                <w:kern w:val="0"/>
                <w:sz w:val="24"/>
                <w:szCs w:val="24"/>
                <w:highlight w:val="none"/>
              </w:rPr>
              <w:t>公章的；或签字人未经法定代表人有效授权委托的；</w:t>
            </w:r>
          </w:p>
        </w:tc>
      </w:tr>
      <w:tr w14:paraId="0E01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629478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违反</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中载明</w:t>
            </w:r>
            <w:r>
              <w:rPr>
                <w:rFonts w:hint="eastAsia" w:asciiTheme="minorEastAsia" w:hAnsiTheme="minorEastAsia" w:eastAsiaTheme="minorEastAsia" w:cstheme="minorEastAsia"/>
                <w:color w:val="auto"/>
                <w:kern w:val="0"/>
                <w:sz w:val="24"/>
                <w:szCs w:val="24"/>
                <w:highlight w:val="none"/>
                <w:lang w:eastAsia="zh-CN"/>
              </w:rPr>
              <w:t>“申请</w:t>
            </w:r>
            <w:r>
              <w:rPr>
                <w:rFonts w:hint="eastAsia" w:asciiTheme="minorEastAsia" w:hAnsiTheme="minorEastAsia" w:eastAsiaTheme="minorEastAsia" w:cstheme="minorEastAsia"/>
                <w:color w:val="auto"/>
                <w:kern w:val="0"/>
                <w:sz w:val="24"/>
                <w:szCs w:val="24"/>
                <w:highlight w:val="none"/>
              </w:rPr>
              <w:t>无效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条款的规定；</w:t>
            </w:r>
          </w:p>
        </w:tc>
      </w:tr>
      <w:tr w14:paraId="3BF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FF34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有效期不满足征集文件要求的；</w:t>
            </w:r>
          </w:p>
        </w:tc>
      </w:tr>
    </w:tbl>
    <w:p w14:paraId="5311049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3</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 xml:space="preserve">的澄清 </w:t>
      </w:r>
    </w:p>
    <w:p w14:paraId="6B24AC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.1对</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w:t>
      </w:r>
      <w:r>
        <w:rPr>
          <w:rFonts w:hint="eastAsia" w:asciiTheme="minorEastAsia" w:hAnsiTheme="minorEastAsia" w:eastAsiaTheme="minorEastAsia" w:cstheme="minorEastAsia"/>
          <w:color w:val="auto"/>
          <w:sz w:val="24"/>
          <w:highlight w:val="none"/>
          <w:lang w:eastAsia="zh-CN"/>
        </w:rPr>
        <w:t>征集人或采购代理机构</w:t>
      </w:r>
      <w:r>
        <w:rPr>
          <w:rFonts w:hint="eastAsia" w:asciiTheme="minorEastAsia" w:hAnsiTheme="minorEastAsia" w:eastAsiaTheme="minorEastAsia" w:cstheme="minorEastAsia"/>
          <w:color w:val="auto"/>
          <w:sz w:val="24"/>
          <w:highlight w:val="none"/>
        </w:rPr>
        <w:t>可以书面形式要求</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作出必要的澄清、说明或者纠正。</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的澄清、说明或者纠正应当在规定的时间内以书面形式作出，由其法定代表人或者授权代表签字，并不得超出</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的实质性内容。</w:t>
      </w:r>
    </w:p>
    <w:p w14:paraId="460071A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32" w:name="_Toc22068"/>
      <w:bookmarkStart w:id="33" w:name="_Toc24548"/>
      <w:bookmarkStart w:id="34" w:name="_Toc13508"/>
      <w:bookmarkStart w:id="35" w:name="_Toc28074"/>
      <w:r>
        <w:rPr>
          <w:rFonts w:hint="eastAsia" w:asciiTheme="minorEastAsia" w:hAnsiTheme="minorEastAsia" w:eastAsiaTheme="minorEastAsia" w:cstheme="minorEastAsia"/>
          <w:color w:val="auto"/>
          <w:sz w:val="32"/>
          <w:szCs w:val="32"/>
          <w:highlight w:val="none"/>
        </w:rPr>
        <w:t>六、定标与签订合同</w:t>
      </w:r>
      <w:bookmarkEnd w:id="32"/>
      <w:bookmarkEnd w:id="33"/>
      <w:bookmarkEnd w:id="34"/>
      <w:bookmarkEnd w:id="35"/>
    </w:p>
    <w:p w14:paraId="7B69CA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14</w:t>
      </w:r>
      <w:r>
        <w:rPr>
          <w:rFonts w:hint="eastAsia" w:asciiTheme="minorEastAsia" w:hAnsiTheme="minorEastAsia" w:eastAsiaTheme="minorEastAsia" w:cstheme="minorEastAsia"/>
          <w:b/>
          <w:bCs w:val="0"/>
          <w:color w:val="auto"/>
          <w:sz w:val="24"/>
          <w:highlight w:val="none"/>
        </w:rPr>
        <w:t>、入围结果公告</w:t>
      </w:r>
    </w:p>
    <w:p w14:paraId="772639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将在审核通过后</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个工作日内，发布入围结果公告。</w:t>
      </w:r>
    </w:p>
    <w:p w14:paraId="44FBB67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15、</w:t>
      </w:r>
      <w:r>
        <w:rPr>
          <w:rFonts w:hint="eastAsia" w:asciiTheme="minorEastAsia" w:hAnsiTheme="minorEastAsia" w:eastAsiaTheme="minorEastAsia" w:cstheme="minorEastAsia"/>
          <w:b/>
          <w:bCs w:val="0"/>
          <w:color w:val="auto"/>
          <w:sz w:val="24"/>
          <w:highlight w:val="none"/>
        </w:rPr>
        <w:t>入围</w:t>
      </w:r>
      <w:r>
        <w:rPr>
          <w:rFonts w:hint="eastAsia" w:asciiTheme="minorEastAsia" w:hAnsiTheme="minorEastAsia" w:eastAsiaTheme="minorEastAsia" w:cstheme="minorEastAsia"/>
          <w:b/>
          <w:bCs w:val="0"/>
          <w:color w:val="auto"/>
          <w:sz w:val="24"/>
          <w:highlight w:val="none"/>
          <w:lang w:eastAsia="zh-CN"/>
        </w:rPr>
        <w:t>服务商</w:t>
      </w:r>
      <w:r>
        <w:rPr>
          <w:rFonts w:hint="eastAsia" w:asciiTheme="minorEastAsia" w:hAnsiTheme="minorEastAsia" w:eastAsiaTheme="minorEastAsia" w:cstheme="minorEastAsia"/>
          <w:b/>
          <w:bCs w:val="0"/>
          <w:color w:val="auto"/>
          <w:sz w:val="24"/>
          <w:highlight w:val="none"/>
        </w:rPr>
        <w:t>的清退和补充规则</w:t>
      </w:r>
    </w:p>
    <w:p w14:paraId="088206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的清退规则</w:t>
      </w:r>
    </w:p>
    <w:p w14:paraId="294538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有下列情形之一，取消其入围资格：</w:t>
      </w:r>
    </w:p>
    <w:p w14:paraId="66A201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恶意串通谋取入围或者合同成交的；</w:t>
      </w:r>
    </w:p>
    <w:p w14:paraId="770F55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提供虚假材料谋取入围或者合同成交的；</w:t>
      </w:r>
    </w:p>
    <w:p w14:paraId="2F3781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)框架协议有效期内，因违法行为被禁止或限制参加</w:t>
      </w:r>
      <w:r>
        <w:rPr>
          <w:rFonts w:hint="eastAsia" w:asciiTheme="minorEastAsia" w:hAnsiTheme="minorEastAsia" w:eastAsiaTheme="minorEastAsia" w:cstheme="minorEastAsia"/>
          <w:color w:val="auto"/>
          <w:sz w:val="24"/>
          <w:highlight w:val="none"/>
          <w:lang w:val="en-US" w:eastAsia="zh-CN"/>
        </w:rPr>
        <w:t>采购或招标</w:t>
      </w:r>
      <w:r>
        <w:rPr>
          <w:rFonts w:hint="eastAsia" w:asciiTheme="minorEastAsia" w:hAnsiTheme="minorEastAsia" w:eastAsiaTheme="minorEastAsia" w:cstheme="minorEastAsia"/>
          <w:color w:val="auto"/>
          <w:sz w:val="24"/>
          <w:highlight w:val="none"/>
        </w:rPr>
        <w:t>活动的；</w:t>
      </w:r>
    </w:p>
    <w:p w14:paraId="5E6B14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)框架协议有效期内，</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被人民法院列入失信被执行人；</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或其法定代表人被人民检察院列入行贿犯 罪档案；</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被工商行政管理部门列入企业经营异常名录；</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被税务部门列入重大税收违法案件当事人名单；</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被政府采购监管部 门列入政府采购严重违法失信行为记录名单，以及存在因违法经营受到刑事处罚或者责令停产停业、吊销许可证或者执照、较大数额罚款等行政处罚；</w:t>
      </w:r>
    </w:p>
    <w:p w14:paraId="37D522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)当征集人或者采购人发起针对入围产品 (或服务) 的价格调查时，未能主动提供包括但不限于销售记录、成交合同等价格证明材料的；</w:t>
      </w:r>
    </w:p>
    <w:p w14:paraId="533C7F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)擅自将项目分包或转包；</w:t>
      </w:r>
    </w:p>
    <w:p w14:paraId="2500C2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Hans"/>
        </w:rPr>
        <w:t>征集文件约定的其他情形</w:t>
      </w:r>
      <w:r>
        <w:rPr>
          <w:rFonts w:hint="eastAsia" w:asciiTheme="minorEastAsia" w:hAnsiTheme="minorEastAsia" w:eastAsiaTheme="minorEastAsia" w:cstheme="minorEastAsia"/>
          <w:color w:val="auto"/>
          <w:sz w:val="24"/>
          <w:highlight w:val="none"/>
        </w:rPr>
        <w:t>。</w:t>
      </w:r>
    </w:p>
    <w:p w14:paraId="5A65DC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被取消入围资格或者被解除框架协议的</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不得重新申请加入同一开放式框架协议。</w:t>
      </w:r>
    </w:p>
    <w:p w14:paraId="4474CF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15.2</w:t>
      </w:r>
      <w:r>
        <w:rPr>
          <w:rFonts w:hint="eastAsia" w:asciiTheme="minorEastAsia" w:hAnsiTheme="minorEastAsia" w:eastAsiaTheme="minorEastAsia" w:cstheme="minorEastAsia"/>
          <w:color w:val="auto"/>
          <w:sz w:val="24"/>
          <w:highlight w:val="none"/>
        </w:rPr>
        <w:t>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的补充规则</w:t>
      </w:r>
    </w:p>
    <w:p w14:paraId="325CE9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征集公告发布后至框架协议期满前，</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可以按照征集公告要求，随时提交加入框架协议的申请。本次框架协议期限为自本征集公告发布之日起</w:t>
      </w:r>
      <w:r>
        <w:rPr>
          <w:rFonts w:hint="eastAsia" w:asciiTheme="minorEastAsia" w:hAnsiTheme="minorEastAsia" w:eastAsiaTheme="minorEastAsia" w:cstheme="minorEastAsia"/>
          <w:color w:val="auto"/>
          <w:sz w:val="24"/>
          <w:highlight w:val="none"/>
          <w:lang w:val="en-US" w:eastAsia="zh-Hans"/>
        </w:rPr>
        <w:t>至</w:t>
      </w:r>
      <w:r>
        <w:rPr>
          <w:rFonts w:hint="eastAsia" w:asciiTheme="minorEastAsia" w:hAnsiTheme="minorEastAsia" w:eastAsiaTheme="minorEastAsia" w:cstheme="minorEastAsia"/>
          <w:color w:val="auto"/>
          <w:sz w:val="24"/>
          <w:highlight w:val="none"/>
          <w:lang w:eastAsia="zh-Hans"/>
        </w:rPr>
        <w:t>2024</w:t>
      </w:r>
      <w:r>
        <w:rPr>
          <w:rFonts w:hint="eastAsia" w:asciiTheme="minorEastAsia" w:hAnsiTheme="minorEastAsia" w:eastAsiaTheme="minorEastAsia" w:cstheme="minorEastAsia"/>
          <w:color w:val="auto"/>
          <w:sz w:val="24"/>
          <w:highlight w:val="none"/>
          <w:lang w:val="en-US" w:eastAsia="zh-Hans"/>
        </w:rPr>
        <w:t>年</w:t>
      </w:r>
      <w:r>
        <w:rPr>
          <w:rFonts w:hint="eastAsia" w:asciiTheme="minorEastAsia" w:hAnsiTheme="minorEastAsia" w:eastAsiaTheme="minorEastAsia" w:cstheme="minorEastAsia"/>
          <w:color w:val="auto"/>
          <w:sz w:val="24"/>
          <w:highlight w:val="none"/>
          <w:lang w:eastAsia="zh-Hans"/>
        </w:rPr>
        <w:t>12</w:t>
      </w:r>
      <w:r>
        <w:rPr>
          <w:rFonts w:hint="eastAsia" w:asciiTheme="minorEastAsia" w:hAnsiTheme="minorEastAsia" w:eastAsiaTheme="minorEastAsia" w:cstheme="minorEastAsia"/>
          <w:color w:val="auto"/>
          <w:sz w:val="24"/>
          <w:highlight w:val="none"/>
          <w:lang w:val="en-US" w:eastAsia="zh-Hans"/>
        </w:rPr>
        <w:t>月</w:t>
      </w:r>
      <w:r>
        <w:rPr>
          <w:rFonts w:hint="eastAsia" w:asciiTheme="minorEastAsia" w:hAnsiTheme="minorEastAsia" w:eastAsiaTheme="minorEastAsia" w:cstheme="minorEastAsia"/>
          <w:color w:val="auto"/>
          <w:sz w:val="24"/>
          <w:highlight w:val="none"/>
          <w:lang w:eastAsia="zh-Hans"/>
        </w:rPr>
        <w:t>31</w:t>
      </w:r>
      <w:r>
        <w:rPr>
          <w:rFonts w:hint="eastAsia" w:asciiTheme="minorEastAsia" w:hAnsiTheme="minorEastAsia" w:eastAsiaTheme="minorEastAsia" w:cstheme="minorEastAsia"/>
          <w:color w:val="auto"/>
          <w:sz w:val="24"/>
          <w:highlight w:val="none"/>
          <w:lang w:val="en-US" w:eastAsia="zh-Hans"/>
        </w:rPr>
        <w:t>日止</w:t>
      </w:r>
      <w:r>
        <w:rPr>
          <w:rFonts w:hint="eastAsia" w:asciiTheme="minorEastAsia" w:hAnsiTheme="minorEastAsia" w:eastAsiaTheme="minorEastAsia" w:cstheme="minorEastAsia"/>
          <w:color w:val="auto"/>
          <w:sz w:val="24"/>
          <w:highlight w:val="none"/>
        </w:rPr>
        <w:t>，不因</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入围的时间不同而变化。</w:t>
      </w:r>
    </w:p>
    <w:p w14:paraId="295A4B3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16</w:t>
      </w:r>
      <w:r>
        <w:rPr>
          <w:rFonts w:hint="eastAsia" w:asciiTheme="minorEastAsia" w:hAnsiTheme="minorEastAsia" w:eastAsiaTheme="minorEastAsia" w:cstheme="minorEastAsia"/>
          <w:b/>
          <w:bCs w:val="0"/>
          <w:color w:val="auto"/>
          <w:sz w:val="24"/>
          <w:highlight w:val="none"/>
        </w:rPr>
        <w:t>、框架协议的签订及解除</w:t>
      </w:r>
    </w:p>
    <w:p w14:paraId="0EFD1F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16.1</w:t>
      </w:r>
      <w:r>
        <w:rPr>
          <w:rFonts w:hint="eastAsia" w:asciiTheme="minorEastAsia" w:hAnsiTheme="minorEastAsia" w:eastAsiaTheme="minorEastAsia" w:cstheme="minorEastAsia"/>
          <w:color w:val="auto"/>
          <w:sz w:val="24"/>
          <w:highlight w:val="none"/>
        </w:rPr>
        <w:t>征集人将在收到</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申请后 7 个工作日内完成审核，并将审核结果书面通知申请</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w:t>
      </w:r>
    </w:p>
    <w:p w14:paraId="41D1AF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本项目采用开放式框架协议采购方式，在确定第一阶段入围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后，</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签订合同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第二阶段成交</w:t>
      </w:r>
      <w:r>
        <w:rPr>
          <w:rFonts w:hint="eastAsia" w:asciiTheme="minorEastAsia" w:hAnsiTheme="minorEastAsia" w:eastAsiaTheme="minorEastAsia" w:cstheme="minorEastAsia"/>
          <w:color w:val="auto"/>
          <w:sz w:val="24"/>
          <w:highlight w:val="none"/>
          <w:lang w:eastAsia="zh-CN"/>
        </w:rPr>
        <w:t>服务商确定</w:t>
      </w:r>
      <w:r>
        <w:rPr>
          <w:rFonts w:hint="eastAsia" w:asciiTheme="minorEastAsia" w:hAnsiTheme="minorEastAsia" w:eastAsiaTheme="minorEastAsia" w:cstheme="minorEastAsia"/>
          <w:color w:val="auto"/>
          <w:sz w:val="24"/>
          <w:highlight w:val="none"/>
        </w:rPr>
        <w:t>方式为：</w:t>
      </w:r>
      <w:r>
        <w:rPr>
          <w:rFonts w:hint="eastAsia" w:asciiTheme="minorEastAsia" w:hAnsiTheme="minorEastAsia" w:eastAsiaTheme="minorEastAsia" w:cstheme="minorEastAsia"/>
          <w:color w:val="auto"/>
          <w:sz w:val="24"/>
          <w:highlight w:val="none"/>
          <w:lang w:eastAsia="zh-CN"/>
        </w:rPr>
        <w:t>二次竞价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采购人将不同的项目需求，向符合项目需求的服务商发布询价通知，由服务商进行报价，符合项目需求且报价最低（报价不得超过第一阶段设定的最高限制单价）的将作为成交服务商</w:t>
      </w:r>
      <w:r>
        <w:rPr>
          <w:rFonts w:hint="eastAsia" w:asciiTheme="minorEastAsia" w:hAnsiTheme="minorEastAsia" w:eastAsiaTheme="minorEastAsia" w:cstheme="minorEastAsia"/>
          <w:color w:val="auto"/>
          <w:sz w:val="24"/>
          <w:highlight w:val="none"/>
        </w:rPr>
        <w:t>，再另行签订合同。</w:t>
      </w:r>
    </w:p>
    <w:p w14:paraId="35F3E6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16.2</w:t>
      </w:r>
      <w:r>
        <w:rPr>
          <w:rFonts w:hint="eastAsia" w:asciiTheme="minorEastAsia" w:hAnsiTheme="minorEastAsia" w:eastAsiaTheme="minorEastAsia" w:cstheme="minorEastAsia"/>
          <w:color w:val="auto"/>
          <w:sz w:val="24"/>
          <w:highlight w:val="none"/>
        </w:rPr>
        <w:t>开放式框架协议入围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可以随时申请退出框架协议。</w:t>
      </w:r>
      <w:r>
        <w:rPr>
          <w:rFonts w:hint="eastAsia" w:asciiTheme="minorEastAsia" w:hAnsiTheme="minorEastAsia" w:eastAsiaTheme="minorEastAsia" w:cstheme="minorEastAsia"/>
          <w:color w:val="auto"/>
          <w:sz w:val="24"/>
          <w:highlight w:val="none"/>
          <w:lang w:eastAsia="zh-CN"/>
        </w:rPr>
        <w:t>征集人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将在收到退出申请</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个工作日内，发布入围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退出公告。</w:t>
      </w:r>
    </w:p>
    <w:p w14:paraId="642978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0000FF"/>
          <w:sz w:val="24"/>
          <w:highlight w:val="none"/>
        </w:rPr>
      </w:pPr>
      <w:r>
        <w:rPr>
          <w:rFonts w:hint="eastAsia" w:asciiTheme="minorEastAsia" w:hAnsiTheme="minorEastAsia" w:eastAsiaTheme="minorEastAsia" w:cstheme="minorEastAsia"/>
          <w:color w:val="auto"/>
          <w:sz w:val="24"/>
          <w:highlight w:val="none"/>
          <w:lang w:val="en-US" w:eastAsia="zh-CN"/>
        </w:rPr>
        <w:t>16.3</w:t>
      </w:r>
      <w:r>
        <w:rPr>
          <w:rFonts w:hint="eastAsia" w:asciiTheme="minorEastAsia" w:hAnsiTheme="minorEastAsia" w:eastAsiaTheme="minorEastAsia" w:cstheme="minorEastAsia"/>
          <w:color w:val="auto"/>
          <w:sz w:val="24"/>
          <w:highlight w:val="none"/>
        </w:rPr>
        <w:t>签订的</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以征集文件、响应文件</w:t>
      </w:r>
      <w:r>
        <w:rPr>
          <w:rFonts w:hint="eastAsia" w:asciiTheme="minorEastAsia" w:hAnsiTheme="minorEastAsia" w:eastAsiaTheme="minorEastAsia" w:cstheme="minorEastAsia"/>
          <w:color w:val="auto"/>
          <w:sz w:val="24"/>
          <w:highlight w:val="none"/>
          <w:lang w:eastAsia="zh-CN"/>
        </w:rPr>
        <w:t>、询价单及入围服务商报价单</w:t>
      </w:r>
      <w:r>
        <w:rPr>
          <w:rFonts w:hint="eastAsia" w:asciiTheme="minorEastAsia" w:hAnsiTheme="minorEastAsia" w:eastAsiaTheme="minorEastAsia" w:cstheme="minorEastAsia"/>
          <w:color w:val="auto"/>
          <w:sz w:val="24"/>
          <w:highlight w:val="none"/>
        </w:rPr>
        <w:t>为基础，不得对征集文件确定的事项以及入围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的响应文件作实质性修改。采购人不得向入围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提出任何不合理的要求，作为签订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的条件，不得与入围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再行订立背离</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实质性内容的其他协议。征集文件、响应文件、书面承诺均作为</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的组成部分，且具有法律效力。合同双方当事人不得擅自改变合同实质性条款。</w:t>
      </w:r>
    </w:p>
    <w:p w14:paraId="508CF62B">
      <w:pPr>
        <w:spacing w:line="360" w:lineRule="auto"/>
        <w:jc w:val="center"/>
        <w:outlineLvl w:val="0"/>
        <w:rPr>
          <w:rFonts w:hint="eastAsia" w:ascii="宋体" w:hAnsi="宋体" w:cs="宋体"/>
          <w:b/>
          <w:color w:val="0000FF"/>
          <w:sz w:val="44"/>
          <w:szCs w:val="44"/>
          <w:highlight w:val="none"/>
        </w:rPr>
        <w:sectPr>
          <w:footerReference r:id="rId10"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36" w:name="_Toc30775"/>
      <w:bookmarkStart w:id="37" w:name="_Toc31896"/>
    </w:p>
    <w:p w14:paraId="7595FE3B">
      <w:pPr>
        <w:spacing w:line="360" w:lineRule="auto"/>
        <w:jc w:val="center"/>
        <w:outlineLvl w:val="0"/>
        <w:rPr>
          <w:rFonts w:hint="eastAsia" w:ascii="宋体" w:hAnsi="宋体" w:eastAsia="宋体" w:cs="宋体"/>
          <w:b/>
          <w:color w:val="auto"/>
          <w:sz w:val="44"/>
          <w:szCs w:val="44"/>
          <w:highlight w:val="none"/>
          <w:lang w:eastAsia="zh-CN"/>
        </w:rPr>
      </w:pPr>
      <w:bookmarkStart w:id="38" w:name="_Toc10810"/>
      <w:r>
        <w:rPr>
          <w:rFonts w:hint="eastAsia" w:ascii="宋体" w:hAnsi="宋体" w:cs="宋体"/>
          <w:b/>
          <w:color w:val="auto"/>
          <w:sz w:val="44"/>
          <w:szCs w:val="44"/>
          <w:highlight w:val="none"/>
        </w:rPr>
        <w:t xml:space="preserve">第三章 </w:t>
      </w:r>
      <w:r>
        <w:rPr>
          <w:rFonts w:hint="eastAsia" w:ascii="宋体" w:hAnsi="宋体" w:cs="宋体"/>
          <w:b/>
          <w:color w:val="auto"/>
          <w:sz w:val="44"/>
          <w:szCs w:val="44"/>
          <w:highlight w:val="none"/>
          <w:lang w:eastAsia="zh-CN"/>
        </w:rPr>
        <w:t>征集内容及要求</w:t>
      </w:r>
      <w:bookmarkEnd w:id="36"/>
      <w:bookmarkEnd w:id="37"/>
      <w:bookmarkEnd w:id="38"/>
    </w:p>
    <w:p w14:paraId="3822E66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textAlignment w:val="auto"/>
        <w:outlineLvl w:val="1"/>
        <w:rPr>
          <w:rFonts w:hint="eastAsia" w:asciiTheme="minorEastAsia" w:hAnsiTheme="minorEastAsia" w:eastAsiaTheme="minorEastAsia" w:cstheme="minorEastAsia"/>
          <w:b/>
          <w:bCs/>
          <w:color w:val="auto"/>
          <w:sz w:val="24"/>
          <w:szCs w:val="24"/>
          <w:highlight w:val="none"/>
          <w:lang w:eastAsia="zh-CN"/>
        </w:rPr>
      </w:pPr>
      <w:bookmarkStart w:id="39" w:name="_Toc7639"/>
      <w:bookmarkStart w:id="40" w:name="_Toc2829"/>
      <w:bookmarkStart w:id="41" w:name="_Toc20811"/>
      <w:r>
        <w:rPr>
          <w:rFonts w:hint="eastAsia" w:asciiTheme="minorEastAsia" w:hAnsiTheme="minorEastAsia" w:eastAsiaTheme="minorEastAsia" w:cstheme="minorEastAsia"/>
          <w:b/>
          <w:bCs/>
          <w:color w:val="auto"/>
          <w:sz w:val="24"/>
          <w:szCs w:val="24"/>
          <w:highlight w:val="none"/>
          <w:shd w:val="clear" w:color="auto" w:fill="FFFFFF"/>
        </w:rPr>
        <w:t>一、</w:t>
      </w:r>
      <w:bookmarkEnd w:id="39"/>
      <w:r>
        <w:rPr>
          <w:rFonts w:hint="eastAsia" w:asciiTheme="minorEastAsia" w:hAnsiTheme="minorEastAsia" w:eastAsiaTheme="minorEastAsia" w:cstheme="minorEastAsia"/>
          <w:b/>
          <w:bCs/>
          <w:color w:val="auto"/>
          <w:sz w:val="24"/>
          <w:szCs w:val="24"/>
          <w:highlight w:val="none"/>
          <w:shd w:val="clear" w:color="auto" w:fill="FFFFFF"/>
        </w:rPr>
        <w:t>项目概述</w:t>
      </w:r>
      <w:bookmarkEnd w:id="40"/>
      <w:bookmarkEnd w:id="41"/>
    </w:p>
    <w:p w14:paraId="2C7C3D79">
      <w:pPr>
        <w:keepNext w:val="0"/>
        <w:keepLines w:val="0"/>
        <w:pageBreakBefore w:val="0"/>
        <w:widowControl w:val="0"/>
        <w:numPr>
          <w:ilvl w:val="0"/>
          <w:numId w:val="0"/>
        </w:numPr>
        <w:tabs>
          <w:tab w:val="left" w:pos="425"/>
          <w:tab w:val="left" w:pos="5852"/>
        </w:tabs>
        <w:kinsoku/>
        <w:wordWrap/>
        <w:overflowPunct/>
        <w:topLinePunct w:val="0"/>
        <w:autoSpaceDE/>
        <w:autoSpaceDN/>
        <w:bidi w:val="0"/>
        <w:adjustRightInd/>
        <w:snapToGrid w:val="0"/>
        <w:spacing w:before="0" w:beforeAutospacing="0" w:afterAutospacing="0" w:line="440" w:lineRule="exact"/>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42" w:name="_Toc121469853"/>
      <w:bookmarkStart w:id="43" w:name="_Toc1853"/>
      <w:bookmarkStart w:id="44" w:name="_Toc3219"/>
      <w:bookmarkStart w:id="45" w:name="_Toc48515955"/>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本项目采用开放式框架协议模式，公开征集算力及AI Token资源入围合作服务商。本次为框架第一阶段入围遴选，服务商入围后，不直接享有项目订单；后续根据实际业务需求，采购人将在入围服务商中开展二次竞价，综合多方报价与服务能力择优确定合作单位。</w:t>
      </w:r>
    </w:p>
    <w:p w14:paraId="1B602550">
      <w:pPr>
        <w:keepNext w:val="0"/>
        <w:keepLines w:val="0"/>
        <w:pageBreakBefore w:val="0"/>
        <w:widowControl w:val="0"/>
        <w:numPr>
          <w:ilvl w:val="0"/>
          <w:numId w:val="0"/>
        </w:numPr>
        <w:tabs>
          <w:tab w:val="left" w:pos="425"/>
          <w:tab w:val="left" w:pos="5852"/>
        </w:tabs>
        <w:kinsoku/>
        <w:wordWrap/>
        <w:overflowPunct/>
        <w:topLinePunct w:val="0"/>
        <w:autoSpaceDE/>
        <w:autoSpaceDN/>
        <w:bidi w:val="0"/>
        <w:adjustRightInd/>
        <w:snapToGrid w:val="0"/>
        <w:spacing w:before="0" w:beforeAutospacing="0" w:afterAutospacing="0" w:line="440" w:lineRule="exact"/>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各服务商在提交响应文件前，须认真研读本征集文件，全面知悉征集规则、技术标准、服务规范及合作模式，充分评估自身资源供给、技术服务能力与经营风险。凡提交申请文件，即视为服务商已完全理解并自愿接受本征集文件全部要求，自行承担框架合作周期内订单不足、二次竞价未中选等相关经营风险。</w:t>
      </w:r>
    </w:p>
    <w:p w14:paraId="28D9870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textAlignment w:val="auto"/>
        <w:outlineLvl w:val="1"/>
        <w:rPr>
          <w:rFonts w:hint="eastAsia" w:asciiTheme="minorEastAsia" w:hAnsiTheme="minorEastAsia" w:eastAsiaTheme="minorEastAsia" w:cstheme="minorEastAsia"/>
          <w:b/>
          <w:bCs/>
          <w:color w:val="auto"/>
          <w:sz w:val="24"/>
          <w:szCs w:val="24"/>
          <w:highlight w:val="none"/>
          <w:shd w:val="clear" w:color="auto" w:fill="FFFFFF"/>
          <w:lang w:val="en-US" w:eastAsia="zh-CN"/>
        </w:rPr>
      </w:pPr>
      <w:bookmarkStart w:id="46" w:name="_Toc1521"/>
      <w:r>
        <w:rPr>
          <w:rFonts w:hint="eastAsia" w:asciiTheme="minorEastAsia" w:hAnsiTheme="minorEastAsia" w:eastAsiaTheme="minorEastAsia" w:cstheme="minorEastAsia"/>
          <w:b/>
          <w:bCs/>
          <w:color w:val="auto"/>
          <w:sz w:val="24"/>
          <w:szCs w:val="24"/>
          <w:highlight w:val="none"/>
          <w:shd w:val="clear" w:color="auto" w:fill="FFFFFF"/>
          <w:lang w:val="en-US" w:eastAsia="zh-CN"/>
        </w:rPr>
        <w:t>二、征集内容</w:t>
      </w:r>
      <w:bookmarkEnd w:id="46"/>
    </w:p>
    <w:p w14:paraId="7681748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本次征集分为标段1（福建省内本地算力资源服务）、标段2（福建省外跨区域算力资源服务）、标段3（AI Token资源服务）三个标段，</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可选择单独报名单个标段，也可同时报名</w:t>
      </w:r>
      <w:r>
        <w:rPr>
          <w:rFonts w:hint="eastAsia" w:asciiTheme="minorEastAsia" w:hAnsiTheme="minorEastAsia" w:eastAsiaTheme="minorEastAsia" w:cstheme="minorEastAsia"/>
          <w:sz w:val="24"/>
          <w:szCs w:val="24"/>
          <w:lang w:val="en-US" w:eastAsia="zh-CN"/>
        </w:rPr>
        <w:t>多</w:t>
      </w:r>
      <w:r>
        <w:rPr>
          <w:rFonts w:hint="eastAsia" w:asciiTheme="minorEastAsia" w:hAnsiTheme="minorEastAsia" w:eastAsiaTheme="minorEastAsia" w:cstheme="minorEastAsia"/>
          <w:sz w:val="24"/>
          <w:szCs w:val="24"/>
        </w:rPr>
        <w:t>个标段。各标段服务范围、入围规则、资质条件、报价规则、服务指标具体要求如下：</w:t>
      </w:r>
    </w:p>
    <w:p w14:paraId="24C1D3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征集内容</w:t>
      </w:r>
    </w:p>
    <w:tbl>
      <w:tblPr>
        <w:tblStyle w:val="3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268"/>
        <w:gridCol w:w="2268"/>
        <w:gridCol w:w="3969"/>
      </w:tblGrid>
      <w:tr w14:paraId="4015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1616B2F">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标段</w:t>
            </w:r>
          </w:p>
        </w:tc>
        <w:tc>
          <w:tcPr>
            <w:tcW w:w="2268" w:type="dxa"/>
            <w:vAlign w:val="center"/>
          </w:tcPr>
          <w:p w14:paraId="444E4FA4">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标段名称</w:t>
            </w:r>
          </w:p>
        </w:tc>
        <w:tc>
          <w:tcPr>
            <w:tcW w:w="2268" w:type="dxa"/>
            <w:vAlign w:val="center"/>
          </w:tcPr>
          <w:p w14:paraId="6E459BF7">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品目号及品目名称</w:t>
            </w:r>
          </w:p>
        </w:tc>
        <w:tc>
          <w:tcPr>
            <w:tcW w:w="3969" w:type="dxa"/>
            <w:vAlign w:val="center"/>
          </w:tcPr>
          <w:p w14:paraId="715033E9">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说明</w:t>
            </w:r>
          </w:p>
        </w:tc>
      </w:tr>
      <w:tr w14:paraId="5ECA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94" w:type="dxa"/>
            <w:vAlign w:val="center"/>
          </w:tcPr>
          <w:p w14:paraId="498CE7AF">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268" w:type="dxa"/>
            <w:vAlign w:val="center"/>
          </w:tcPr>
          <w:p w14:paraId="1BFFA0CD">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福建省内本地算力资源服务</w:t>
            </w:r>
          </w:p>
        </w:tc>
        <w:tc>
          <w:tcPr>
            <w:tcW w:w="2268" w:type="dxa"/>
            <w:vAlign w:val="center"/>
          </w:tcPr>
          <w:p w14:paraId="25CEED9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福建省内本地算力资源服务</w:t>
            </w:r>
          </w:p>
        </w:tc>
        <w:tc>
          <w:tcPr>
            <w:tcW w:w="3969" w:type="dxa"/>
            <w:vAlign w:val="center"/>
          </w:tcPr>
          <w:p w14:paraId="373B9CF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p>
        </w:tc>
      </w:tr>
      <w:tr w14:paraId="2921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94" w:type="dxa"/>
            <w:shd w:val="clear" w:color="auto" w:fill="auto"/>
            <w:vAlign w:val="center"/>
          </w:tcPr>
          <w:p w14:paraId="37FD7F63">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2268" w:type="dxa"/>
            <w:shd w:val="clear" w:color="auto" w:fill="auto"/>
            <w:vAlign w:val="center"/>
          </w:tcPr>
          <w:p w14:paraId="47E80C15">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福建省外跨区域算力资源服务</w:t>
            </w:r>
          </w:p>
        </w:tc>
        <w:tc>
          <w:tcPr>
            <w:tcW w:w="2268" w:type="dxa"/>
            <w:shd w:val="clear" w:color="auto" w:fill="auto"/>
            <w:vAlign w:val="center"/>
          </w:tcPr>
          <w:p w14:paraId="2A97E7E8">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-1 福建省外跨区域算力资源服务</w:t>
            </w:r>
          </w:p>
        </w:tc>
        <w:tc>
          <w:tcPr>
            <w:tcW w:w="3969" w:type="dxa"/>
            <w:shd w:val="clear" w:color="auto" w:fill="auto"/>
            <w:vAlign w:val="center"/>
          </w:tcPr>
          <w:p w14:paraId="77A307E2">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66F8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229C682C">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2268" w:type="dxa"/>
            <w:vAlign w:val="center"/>
          </w:tcPr>
          <w:p w14:paraId="3490CA82">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AI Token资源服务</w:t>
            </w:r>
          </w:p>
        </w:tc>
        <w:tc>
          <w:tcPr>
            <w:tcW w:w="2268" w:type="dxa"/>
            <w:vAlign w:val="center"/>
          </w:tcPr>
          <w:p w14:paraId="516E2AAC">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 AI Token资源服务</w:t>
            </w:r>
          </w:p>
        </w:tc>
        <w:tc>
          <w:tcPr>
            <w:tcW w:w="3969" w:type="dxa"/>
            <w:vAlign w:val="center"/>
          </w:tcPr>
          <w:p w14:paraId="4323A68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p>
        </w:tc>
      </w:tr>
    </w:tbl>
    <w:p w14:paraId="2DCF700A">
      <w:pPr>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标段1：福建省内本地算力资源服务</w:t>
      </w:r>
    </w:p>
    <w:p w14:paraId="4DE83CEC">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服务内容：提供AI训练算力、AI推理算力、通用算力、裸金属服务器租赁、跨区域算力调拨、弹性扩容等服务。</w:t>
      </w:r>
    </w:p>
    <w:p w14:paraId="612139EA">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（2）计价单位：AI算力、通用算力为卡/小时；裸金属服务器为台/月。</w:t>
      </w:r>
    </w:p>
    <w:p w14:paraId="7D53796E">
      <w:pPr>
        <w:keepNext w:val="0"/>
        <w:keepLines w:val="0"/>
        <w:pageBreakBefore w:val="0"/>
        <w:widowControl w:val="0"/>
        <w:kinsoku/>
        <w:wordWrap/>
        <w:overflowPunct/>
        <w:topLinePunct w:val="0"/>
        <w:autoSpaceDE/>
        <w:autoSpaceDN/>
        <w:bidi w:val="0"/>
        <w:adjustRightInd/>
        <w:spacing w:line="440" w:lineRule="exact"/>
        <w:ind w:left="0" w:left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标段2：福建省外跨区域算力资源服务</w:t>
      </w:r>
    </w:p>
    <w:p w14:paraId="2AAB3D40">
      <w:pPr>
        <w:keepNext w:val="0"/>
        <w:keepLines w:val="0"/>
        <w:pageBreakBefore w:val="0"/>
        <w:widowControl w:val="0"/>
        <w:numPr>
          <w:ilvl w:val="255"/>
          <w:numId w:val="0"/>
        </w:numPr>
        <w:kinsoku/>
        <w:wordWrap/>
        <w:overflowPunct/>
        <w:topLinePunct w:val="0"/>
        <w:autoSpaceDE/>
        <w:autoSpaceDN/>
        <w:bidi w:val="0"/>
        <w:adjustRightIn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（1）服务内容：提供AI训练算力、AI推理算力、通用算力、裸金属服务器租赁、跨区域算力调拨、弹性扩容等服务。</w:t>
      </w:r>
    </w:p>
    <w:p w14:paraId="0A138434">
      <w:pPr>
        <w:keepNext w:val="0"/>
        <w:keepLines w:val="0"/>
        <w:pageBreakBefore w:val="0"/>
        <w:widowControl w:val="0"/>
        <w:numPr>
          <w:ilvl w:val="255"/>
          <w:numId w:val="0"/>
        </w:numPr>
        <w:kinsoku/>
        <w:wordWrap/>
        <w:overflowPunct/>
        <w:topLinePunct w:val="0"/>
        <w:autoSpaceDE/>
        <w:autoSpaceDN/>
        <w:bidi w:val="0"/>
        <w:adjustRightIn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（2）计价单位：AI算力、通用算力为卡/小时；裸金属服务器为台/月。</w:t>
      </w:r>
    </w:p>
    <w:p w14:paraId="07E373A4">
      <w:pPr>
        <w:keepNext w:val="0"/>
        <w:keepLines w:val="0"/>
        <w:pageBreakBefore w:val="0"/>
        <w:widowControl w:val="0"/>
        <w:kinsoku/>
        <w:wordWrap/>
        <w:overflowPunct/>
        <w:topLinePunct w:val="0"/>
        <w:autoSpaceDE/>
        <w:autoSpaceDN/>
        <w:bidi w:val="0"/>
        <w:adjustRightInd/>
        <w:spacing w:line="440" w:lineRule="exact"/>
        <w:ind w:left="0" w:left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标段3：AI Token 资源服务</w:t>
      </w:r>
    </w:p>
    <w:p w14:paraId="557272EB">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服务内容：提供通用大模型、行业细分模型推理及微调 Token 调用服务，覆盖文生文、文生图、文生视频等应用场景，支持高并发调用、按量统计对账。</w:t>
      </w:r>
    </w:p>
    <w:p w14:paraId="165F19D3">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（2）计价单位：元/百万Token。</w:t>
      </w:r>
    </w:p>
    <w:p w14:paraId="3288FB4E">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textAlignment w:val="auto"/>
        <w:outlineLvl w:val="1"/>
        <w:rPr>
          <w:rFonts w:hint="eastAsia" w:asciiTheme="minorEastAsia" w:hAnsiTheme="minorEastAsia" w:eastAsiaTheme="minorEastAsia" w:cstheme="minorEastAsia"/>
          <w:b/>
          <w:bCs/>
          <w:color w:val="auto"/>
          <w:sz w:val="24"/>
          <w:szCs w:val="24"/>
          <w:highlight w:val="none"/>
          <w:shd w:val="clear" w:color="auto" w:fill="FFFFFF"/>
        </w:rPr>
      </w:pPr>
      <w:bookmarkStart w:id="47" w:name="_Toc27107"/>
      <w:r>
        <w:rPr>
          <w:rFonts w:hint="eastAsia" w:asciiTheme="minorEastAsia" w:hAnsiTheme="minorEastAsia" w:eastAsiaTheme="minorEastAsia" w:cstheme="minorEastAsia"/>
          <w:b/>
          <w:bCs/>
          <w:color w:val="auto"/>
          <w:sz w:val="24"/>
          <w:szCs w:val="24"/>
          <w:highlight w:val="none"/>
          <w:shd w:val="clear" w:color="auto" w:fill="FFFFFF"/>
          <w:lang w:val="en-US" w:eastAsia="zh-CN"/>
        </w:rPr>
        <w:t>三</w:t>
      </w:r>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rPr>
        <w:t>技术和服务要求</w:t>
      </w:r>
      <w:bookmarkEnd w:id="42"/>
      <w:bookmarkEnd w:id="43"/>
      <w:bookmarkEnd w:id="44"/>
      <w:bookmarkEnd w:id="47"/>
    </w:p>
    <w:bookmarkEnd w:id="45"/>
    <w:p w14:paraId="7A155C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auto"/>
          <w:sz w:val="24"/>
          <w:szCs w:val="24"/>
          <w:highlight w:val="none"/>
          <w:shd w:val="clear" w:color="auto" w:fill="FFFFFF"/>
          <w:lang w:eastAsia="zh-CN"/>
        </w:rPr>
      </w:pPr>
      <w:bookmarkStart w:id="48" w:name="_Toc22192"/>
      <w:bookmarkStart w:id="49" w:name="_Toc20150"/>
      <w:bookmarkStart w:id="50" w:name="_Toc121469864"/>
      <w:bookmarkStart w:id="51" w:name="_Toc29038"/>
      <w:bookmarkStart w:id="52" w:name="_Toc20156"/>
      <w:r>
        <w:rPr>
          <w:rFonts w:hint="eastAsia" w:asciiTheme="minorEastAsia" w:hAnsiTheme="minorEastAsia" w:eastAsiaTheme="minorEastAsia" w:cstheme="minorEastAsia"/>
          <w:b/>
          <w:bCs/>
          <w:color w:val="auto"/>
          <w:sz w:val="24"/>
          <w:szCs w:val="24"/>
          <w:highlight w:val="none"/>
          <w:shd w:val="clear" w:color="auto" w:fill="FFFFFF"/>
          <w:lang w:eastAsia="zh-CN"/>
        </w:rPr>
        <w:t>标段1至标段3技术和服务要求：</w:t>
      </w:r>
    </w:p>
    <w:bookmarkEnd w:id="48"/>
    <w:bookmarkEnd w:id="49"/>
    <w:p w14:paraId="47D7B064">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3" w:name="heading_4"/>
      <w:r>
        <w:rPr>
          <w:rFonts w:hint="eastAsia" w:asciiTheme="minorEastAsia" w:hAnsiTheme="minorEastAsia" w:eastAsiaTheme="minorEastAsia" w:cstheme="minorEastAsia"/>
          <w:color w:val="auto"/>
          <w:sz w:val="24"/>
          <w:szCs w:val="24"/>
        </w:rPr>
        <w:t>1、标段1：福建省内本地算力资源服务、标段2：福建省外跨区域算力资源服务的供应商入围资质与要求</w:t>
      </w:r>
      <w:bookmarkEnd w:id="53"/>
    </w:p>
    <w:p w14:paraId="52EEA69F">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须满足以下全部条件，并按要求提交加盖公章的证明材料，材料缺失、内容无效、证照过期均视为资格审查不合格。</w:t>
      </w:r>
    </w:p>
    <w:p w14:paraId="182570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主体资质：</w:t>
      </w:r>
      <w:r>
        <w:rPr>
          <w:rFonts w:hint="eastAsia" w:asciiTheme="minorEastAsia" w:hAnsiTheme="minorEastAsia" w:eastAsiaTheme="minorEastAsia" w:cstheme="minorEastAsia"/>
          <w:color w:val="auto"/>
          <w:sz w:val="24"/>
          <w:szCs w:val="24"/>
        </w:rPr>
        <w:t>具备独立法人资格，合法存续经营，能够独立承担履约、税务及相关法律责任。</w:t>
      </w:r>
    </w:p>
    <w:p w14:paraId="4BBD42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响应材料：营业执照复印件（加盖公章）。</w:t>
      </w:r>
    </w:p>
    <w:p w14:paraId="475358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行业资质：</w:t>
      </w:r>
      <w:r>
        <w:rPr>
          <w:rFonts w:hint="eastAsia" w:asciiTheme="minorEastAsia" w:hAnsiTheme="minorEastAsia" w:eastAsiaTheme="minorEastAsia" w:cstheme="minorEastAsia"/>
          <w:color w:val="auto"/>
          <w:sz w:val="24"/>
          <w:szCs w:val="24"/>
        </w:rPr>
        <w:t>持有有效电信增值经营资质；省外</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具备跨区域算力调拨能力，省内</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具备本地算力落地交付能力。</w:t>
      </w:r>
    </w:p>
    <w:p w14:paraId="4FAEAB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响应材料：增值电信业务经营许可证复印件、能力承诺函（均加盖公章）。</w:t>
      </w:r>
    </w:p>
    <w:p w14:paraId="0662EA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资源能力：</w:t>
      </w:r>
      <w:r>
        <w:rPr>
          <w:rFonts w:hint="eastAsia" w:asciiTheme="minorEastAsia" w:hAnsiTheme="minorEastAsia" w:eastAsiaTheme="minorEastAsia" w:cstheme="minorEastAsia"/>
          <w:color w:val="auto"/>
          <w:sz w:val="24"/>
          <w:szCs w:val="24"/>
        </w:rPr>
        <w:t>具备英伟达、国产华为、天数、沐曦等主流 AI 算力及通用算力储备，可常态化稳定供货，支持业务旺季弹性扩容、临时增补算力。</w:t>
      </w:r>
    </w:p>
    <w:p w14:paraId="6AB0B4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响应材料：资源能力承诺函（加盖公章）。</w:t>
      </w:r>
    </w:p>
    <w:p w14:paraId="18DBE9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运维服务</w:t>
      </w:r>
      <w:r>
        <w:rPr>
          <w:rFonts w:hint="eastAsia" w:asciiTheme="minorEastAsia" w:hAnsiTheme="minorEastAsia" w:eastAsiaTheme="minorEastAsia" w:cstheme="minorEastAsia"/>
          <w:color w:val="auto"/>
          <w:sz w:val="24"/>
          <w:szCs w:val="24"/>
        </w:rPr>
        <w:t>：配备专职团队，提供7×24小时算力运维服务，具备实时监控、故障排查、应急切换、故障兜底交付能力。</w:t>
      </w:r>
    </w:p>
    <w:p w14:paraId="1E265A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响应材料：运维服务承诺函（加盖公章）。</w:t>
      </w:r>
    </w:p>
    <w:p w14:paraId="636105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业绩经验：</w:t>
      </w:r>
      <w:r>
        <w:rPr>
          <w:rFonts w:hint="eastAsia" w:asciiTheme="minorEastAsia" w:hAnsiTheme="minorEastAsia" w:eastAsiaTheme="minorEastAsia" w:cstheme="minorEastAsia"/>
          <w:color w:val="auto"/>
          <w:sz w:val="24"/>
          <w:szCs w:val="24"/>
        </w:rPr>
        <w:t>近2年内具备算力租赁、跨区域算力相关项目业绩不少于1项。</w:t>
      </w:r>
    </w:p>
    <w:p w14:paraId="50ECBA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响应材料：项目合同关键页或业主履约证明（加盖公章）。</w:t>
      </w:r>
    </w:p>
    <w:p w14:paraId="473349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合规信用：</w:t>
      </w:r>
      <w:r>
        <w:rPr>
          <w:rFonts w:hint="eastAsia" w:asciiTheme="minorEastAsia" w:hAnsiTheme="minorEastAsia" w:eastAsiaTheme="minorEastAsia" w:cstheme="minorEastAsia"/>
          <w:color w:val="auto"/>
          <w:sz w:val="24"/>
          <w:szCs w:val="24"/>
        </w:rPr>
        <w:t>近2年内无重大行政处罚、无严重履约违约记录、无行业失信行为。</w:t>
      </w:r>
    </w:p>
    <w:p w14:paraId="3BD81B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响应材料：合规无违规声明函（加盖公章）。</w:t>
      </w:r>
    </w:p>
    <w:p w14:paraId="2E4041DD">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4" w:name="heading_5"/>
      <w:r>
        <w:rPr>
          <w:rFonts w:hint="eastAsia" w:asciiTheme="minorEastAsia" w:hAnsiTheme="minorEastAsia" w:eastAsiaTheme="minorEastAsia" w:cstheme="minorEastAsia"/>
          <w:color w:val="auto"/>
          <w:sz w:val="24"/>
          <w:szCs w:val="24"/>
        </w:rPr>
        <w:t>2、标段3：AI Token资源</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入围资质与要求</w:t>
      </w:r>
      <w:bookmarkEnd w:id="54"/>
    </w:p>
    <w:p w14:paraId="50C1F142">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须满足以下全部条件，并按要求提交加盖公章的证明材料，材料不全视为资格审查不合格。</w:t>
      </w:r>
    </w:p>
    <w:p w14:paraId="64F0DE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主体资质</w:t>
      </w:r>
      <w:r>
        <w:rPr>
          <w:rFonts w:hint="eastAsia" w:asciiTheme="minorEastAsia" w:hAnsiTheme="minorEastAsia" w:eastAsiaTheme="minorEastAsia" w:cstheme="minorEastAsia"/>
          <w:color w:val="auto"/>
          <w:sz w:val="24"/>
          <w:szCs w:val="24"/>
        </w:rPr>
        <w:t>：合法存续经营，具备人工智能、大模型服务相关经营条件。</w:t>
      </w:r>
    </w:p>
    <w:p w14:paraId="459ABE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bookmarkStart w:id="154" w:name="_GoBack"/>
      <w:r>
        <w:rPr>
          <w:rFonts w:hint="eastAsia" w:asciiTheme="minorEastAsia" w:hAnsiTheme="minorEastAsia" w:eastAsiaTheme="minorEastAsia" w:cstheme="minorEastAsia"/>
          <w:b/>
          <w:bCs/>
          <w:color w:val="auto"/>
          <w:sz w:val="24"/>
          <w:szCs w:val="24"/>
        </w:rPr>
        <w:t>响应材料：营业执照复印件（加盖公章）。</w:t>
      </w:r>
    </w:p>
    <w:bookmarkEnd w:id="154"/>
    <w:p w14:paraId="605826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合规要求</w:t>
      </w:r>
      <w:r>
        <w:rPr>
          <w:rFonts w:hint="eastAsia" w:asciiTheme="minorEastAsia" w:hAnsiTheme="minorEastAsia" w:eastAsiaTheme="minorEastAsia" w:cstheme="minorEastAsia"/>
          <w:color w:val="auto"/>
          <w:sz w:val="24"/>
          <w:szCs w:val="24"/>
        </w:rPr>
        <w:t>：熟知并严格遵守网络安全、数据安全、个人信息保护相关法律法规，愿意签署数据保密、合规履约相关协议</w:t>
      </w:r>
    </w:p>
    <w:p w14:paraId="6C4262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响应材料：合规服务承诺函（加盖公章）。</w:t>
      </w:r>
    </w:p>
    <w:p w14:paraId="012A69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服务能力</w:t>
      </w:r>
      <w:r>
        <w:rPr>
          <w:rFonts w:hint="eastAsia" w:asciiTheme="minorEastAsia" w:hAnsiTheme="minorEastAsia" w:eastAsiaTheme="minorEastAsia" w:cstheme="minorEastAsia"/>
          <w:color w:val="auto"/>
          <w:sz w:val="24"/>
          <w:szCs w:val="24"/>
        </w:rPr>
        <w:t>：支持Token调用数据实时统计、在线监控，可采用预充值、月度对账模式结算，能够稳定承接高并发、低延迟调用需求。</w:t>
      </w:r>
    </w:p>
    <w:p w14:paraId="5FD22D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响应材料：服务能力承诺函（加盖公章）。</w:t>
      </w:r>
    </w:p>
    <w:p w14:paraId="32982B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信用要求：</w:t>
      </w:r>
      <w:r>
        <w:rPr>
          <w:rFonts w:hint="eastAsia" w:asciiTheme="minorEastAsia" w:hAnsiTheme="minorEastAsia" w:eastAsiaTheme="minorEastAsia" w:cstheme="minorEastAsia"/>
          <w:color w:val="auto"/>
          <w:sz w:val="24"/>
          <w:szCs w:val="24"/>
        </w:rPr>
        <w:t>近3年内无数据安全、AI行业相关行政处罚，未发生重大安全事故。</w:t>
      </w:r>
    </w:p>
    <w:p w14:paraId="096C94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响应材料：无违规声明函（加盖公章）。</w:t>
      </w:r>
    </w:p>
    <w:p w14:paraId="605C6CA3">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5" w:name="heading_6"/>
      <w:r>
        <w:rPr>
          <w:rFonts w:hint="eastAsia" w:asciiTheme="minorEastAsia" w:hAnsiTheme="minorEastAsia" w:eastAsiaTheme="minorEastAsia" w:cstheme="minorEastAsia"/>
          <w:color w:val="auto"/>
          <w:sz w:val="24"/>
          <w:szCs w:val="24"/>
        </w:rPr>
        <w:t>3、标段1福建省</w:t>
      </w:r>
      <w:r>
        <w:rPr>
          <w:rFonts w:hint="eastAsia" w:asciiTheme="minorEastAsia" w:hAnsiTheme="minorEastAsia" w:eastAsiaTheme="minorEastAsia" w:cstheme="minorEastAsia"/>
          <w:color w:val="auto"/>
          <w:sz w:val="24"/>
          <w:szCs w:val="24"/>
          <w:lang w:val="en-US" w:eastAsia="zh-CN"/>
        </w:rPr>
        <w:t>内本地</w:t>
      </w:r>
      <w:r>
        <w:rPr>
          <w:rFonts w:hint="eastAsia" w:asciiTheme="minorEastAsia" w:hAnsiTheme="minorEastAsia" w:eastAsiaTheme="minorEastAsia" w:cstheme="minorEastAsia"/>
          <w:color w:val="auto"/>
          <w:sz w:val="24"/>
          <w:szCs w:val="24"/>
        </w:rPr>
        <w:t>算力资源服务</w:t>
      </w:r>
      <w:r>
        <w:rPr>
          <w:rFonts w:hint="eastAsia" w:asciiTheme="minorEastAsia" w:hAnsiTheme="minorEastAsia" w:eastAsiaTheme="minorEastAsia" w:cstheme="minorEastAsia"/>
          <w:color w:val="auto"/>
          <w:sz w:val="24"/>
          <w:szCs w:val="24"/>
          <w:lang w:val="en-US" w:eastAsia="zh-CN"/>
        </w:rPr>
        <w:t>、标段2</w:t>
      </w:r>
      <w:r>
        <w:rPr>
          <w:rFonts w:hint="eastAsia" w:asciiTheme="minorEastAsia" w:hAnsiTheme="minorEastAsia" w:eastAsiaTheme="minorEastAsia" w:cstheme="minorEastAsia"/>
          <w:color w:val="auto"/>
          <w:sz w:val="24"/>
          <w:szCs w:val="24"/>
        </w:rPr>
        <w:t xml:space="preserve"> 福建省外跨区域算力资源服务及标段</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AI Token资源服务的通用服务质量硬性指标</w:t>
      </w:r>
      <w:bookmarkEnd w:id="55"/>
    </w:p>
    <w:p w14:paraId="3D3567B8">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所有入围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须书面承诺满足以下全部服务标准，指标不达标的不予入围；已入围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若常态化不达标，将予以扣分、限期整改直至清退出入围库。</w:t>
      </w:r>
    </w:p>
    <w:p w14:paraId="57B1004E">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响应要求：提交服务指标承诺函（加盖公章）。</w:t>
      </w:r>
    </w:p>
    <w:p w14:paraId="00468F83">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（1）运行稳定性</w:t>
      </w:r>
      <w:r>
        <w:rPr>
          <w:rFonts w:hint="eastAsia" w:asciiTheme="minorEastAsia" w:hAnsiTheme="minorEastAsia" w:eastAsiaTheme="minorEastAsia" w:cstheme="minorEastAsia"/>
          <w:color w:val="auto"/>
          <w:sz w:val="24"/>
          <w:szCs w:val="24"/>
        </w:rPr>
        <w:t>：算力资源支持备用通道即时切换；AI Token 接口服务高可用，峰值调用阶段运行平稳、无大面积异常。</w:t>
      </w:r>
    </w:p>
    <w:p w14:paraId="59D295C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（2）故障处置时效：</w:t>
      </w:r>
      <w:r>
        <w:rPr>
          <w:rFonts w:hint="eastAsia" w:asciiTheme="minorEastAsia" w:hAnsiTheme="minorEastAsia" w:eastAsiaTheme="minorEastAsia" w:cstheme="minorEastAsia"/>
          <w:color w:val="auto"/>
          <w:sz w:val="24"/>
          <w:szCs w:val="24"/>
        </w:rPr>
        <w:t>算力、接口故障报修后，核心业务须在 48 小时内完成修复；Token 接口异常、数据错误须在 24 小时内完成修正优化。</w:t>
      </w:r>
    </w:p>
    <w:p w14:paraId="30512DD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（3）数据安全：</w:t>
      </w:r>
      <w:r>
        <w:rPr>
          <w:rFonts w:hint="eastAsia" w:asciiTheme="minorEastAsia" w:hAnsiTheme="minorEastAsia" w:eastAsiaTheme="minorEastAsia" w:cstheme="minorEastAsia"/>
          <w:color w:val="auto"/>
          <w:sz w:val="24"/>
          <w:szCs w:val="24"/>
        </w:rPr>
        <w:t>全程采用加密方式传输数据，严禁私自存储、截留、外泄、挪用采购人业务数据及调用信息。</w:t>
      </w:r>
    </w:p>
    <w:p w14:paraId="496A1D62">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（4）文档与适配：</w:t>
      </w:r>
      <w:r>
        <w:rPr>
          <w:rFonts w:hint="eastAsia" w:asciiTheme="minorEastAsia" w:hAnsiTheme="minorEastAsia" w:eastAsiaTheme="minorEastAsia" w:cstheme="minorEastAsia"/>
          <w:color w:val="auto"/>
          <w:sz w:val="24"/>
          <w:szCs w:val="24"/>
        </w:rPr>
        <w:t>按需提供资源说明、接口文档、运维手册，配合完成接口调试、格式适配、版本迭代。</w:t>
      </w:r>
    </w:p>
    <w:p w14:paraId="44C13D8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（5）技术值守：</w:t>
      </w:r>
      <w:r>
        <w:rPr>
          <w:rFonts w:hint="eastAsia" w:asciiTheme="minorEastAsia" w:hAnsiTheme="minorEastAsia" w:eastAsiaTheme="minorEastAsia" w:cstheme="minorEastAsia"/>
          <w:color w:val="auto"/>
          <w:sz w:val="24"/>
          <w:szCs w:val="24"/>
        </w:rPr>
        <w:t>设立常态化技术支持通道，及时响应技术咨询、配合故障处置。</w:t>
      </w:r>
    </w:p>
    <w:p w14:paraId="087AD3F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bookmarkStart w:id="56" w:name="heading_7"/>
      <w:r>
        <w:rPr>
          <w:rFonts w:hint="eastAsia" w:asciiTheme="minorEastAsia" w:hAnsiTheme="minorEastAsia" w:eastAsiaTheme="minorEastAsia" w:cstheme="minorEastAsia"/>
          <w:sz w:val="24"/>
          <w:szCs w:val="24"/>
        </w:rPr>
        <w:t>4、报价及二次竞价规则</w:t>
      </w:r>
      <w:bookmarkEnd w:id="56"/>
    </w:p>
    <w:p w14:paraId="73605282">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（1）本次入围征集不划分用量档位、不采取阶梯报价。</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根据自身资源情况，填报自有算力、AI Token的含税单价及折扣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所有</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及优惠折扣率</w:t>
      </w:r>
      <w:r>
        <w:rPr>
          <w:rFonts w:hint="eastAsia" w:asciiTheme="minorEastAsia" w:hAnsiTheme="minorEastAsia" w:eastAsiaTheme="minorEastAsia" w:cstheme="minorEastAsia"/>
          <w:sz w:val="24"/>
          <w:szCs w:val="24"/>
        </w:rPr>
        <w:t>统一纳入</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资源，作为后续二次竞价的基础依据。</w:t>
      </w:r>
    </w:p>
    <w:p w14:paraId="42CAF59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所报价格为含税全包价，包含资源使用费、接口服务费、技术调试费、运维费、人工费、税金、风险费、售后及版本迭代等全部费用，框架周期内若无双方书面</w:t>
      </w:r>
      <w:r>
        <w:rPr>
          <w:rFonts w:hint="eastAsia" w:asciiTheme="minorEastAsia" w:hAnsiTheme="minorEastAsia" w:eastAsiaTheme="minorEastAsia" w:cstheme="minorEastAsia"/>
          <w:sz w:val="24"/>
          <w:szCs w:val="24"/>
          <w:highlight w:val="none"/>
        </w:rPr>
        <w:t>约定，不得擅自涨价。</w:t>
      </w:r>
    </w:p>
    <w:p w14:paraId="160BD77C">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（3）后续产生实际业务需求时，采购人向入围库内多家</w:t>
      </w:r>
      <w:r>
        <w:rPr>
          <w:rFonts w:hint="eastAsia" w:asciiTheme="minorEastAsia" w:hAnsiTheme="minorEastAsia" w:eastAsiaTheme="minorEastAsia" w:cstheme="minorEastAsia"/>
          <w:sz w:val="24"/>
          <w:szCs w:val="24"/>
          <w:highlight w:val="none"/>
          <w:lang w:eastAsia="zh-CN"/>
        </w:rPr>
        <w:t>服务商</w:t>
      </w:r>
      <w:r>
        <w:rPr>
          <w:rFonts w:hint="eastAsia" w:asciiTheme="minorEastAsia" w:hAnsiTheme="minorEastAsia" w:eastAsiaTheme="minorEastAsia" w:cstheme="minorEastAsia"/>
          <w:sz w:val="24"/>
          <w:szCs w:val="24"/>
          <w:highlight w:val="none"/>
        </w:rPr>
        <w:t>发起</w:t>
      </w:r>
      <w:r>
        <w:rPr>
          <w:rFonts w:hint="eastAsia" w:asciiTheme="minorEastAsia" w:hAnsiTheme="minorEastAsia" w:eastAsiaTheme="minorEastAsia" w:cstheme="minorEastAsia"/>
          <w:b/>
          <w:bCs/>
          <w:sz w:val="24"/>
          <w:szCs w:val="24"/>
          <w:highlight w:val="none"/>
        </w:rPr>
        <w:t>二次竞价，综合报价、服务择优确定合作单位。</w:t>
      </w:r>
    </w:p>
    <w:p w14:paraId="2528F8DD">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（4）结算方式：算力、AI Token 均</w:t>
      </w:r>
      <w:r>
        <w:rPr>
          <w:rFonts w:hint="eastAsia" w:asciiTheme="minorEastAsia" w:hAnsiTheme="minorEastAsia" w:eastAsiaTheme="minorEastAsia" w:cstheme="minorEastAsia"/>
          <w:b/>
          <w:bCs/>
          <w:sz w:val="24"/>
          <w:szCs w:val="24"/>
          <w:highlight w:val="none"/>
        </w:rPr>
        <w:t>按实际使用量按月对账、按月结算</w:t>
      </w:r>
      <w:r>
        <w:rPr>
          <w:rFonts w:hint="eastAsia" w:asciiTheme="minorEastAsia" w:hAnsiTheme="minorEastAsia" w:eastAsiaTheme="minorEastAsia" w:cstheme="minorEastAsia"/>
          <w:sz w:val="24"/>
          <w:szCs w:val="24"/>
          <w:highlight w:val="none"/>
        </w:rPr>
        <w:t>。</w:t>
      </w:r>
    </w:p>
    <w:p w14:paraId="70EC434C">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（5）价格波动调整：采购人可根据市场行情、行业价格变动及履约情况，不定期开展价格梳理与复核，</w:t>
      </w:r>
      <w:r>
        <w:rPr>
          <w:rFonts w:hint="eastAsia" w:asciiTheme="minorEastAsia" w:hAnsiTheme="minorEastAsia" w:eastAsiaTheme="minorEastAsia" w:cstheme="minorEastAsia"/>
          <w:sz w:val="24"/>
          <w:szCs w:val="24"/>
          <w:highlight w:val="none"/>
          <w:lang w:eastAsia="zh-CN"/>
        </w:rPr>
        <w:t>服务商</w:t>
      </w:r>
      <w:r>
        <w:rPr>
          <w:rFonts w:hint="eastAsia" w:asciiTheme="minorEastAsia" w:hAnsiTheme="minorEastAsia" w:eastAsiaTheme="minorEastAsia" w:cstheme="minorEastAsia"/>
          <w:sz w:val="24"/>
          <w:szCs w:val="24"/>
          <w:highlight w:val="none"/>
        </w:rPr>
        <w:t>须无条件</w:t>
      </w:r>
      <w:r>
        <w:rPr>
          <w:rFonts w:hint="eastAsia" w:asciiTheme="minorEastAsia" w:hAnsiTheme="minorEastAsia" w:eastAsiaTheme="minorEastAsia" w:cstheme="minorEastAsia"/>
          <w:sz w:val="24"/>
          <w:szCs w:val="24"/>
        </w:rPr>
        <w:t>配合。</w:t>
      </w:r>
    </w:p>
    <w:p w14:paraId="7B71EED9">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bookmarkStart w:id="57" w:name="heading_8"/>
      <w:r>
        <w:rPr>
          <w:rFonts w:hint="eastAsia" w:asciiTheme="minorEastAsia" w:hAnsiTheme="minorEastAsia" w:eastAsiaTheme="minorEastAsia" w:cstheme="minorEastAsia"/>
          <w:sz w:val="24"/>
          <w:szCs w:val="24"/>
        </w:rPr>
        <w:t>5、入围后考核与淘汰退出规则</w:t>
      </w:r>
      <w:bookmarkEnd w:id="57"/>
    </w:p>
    <w:p w14:paraId="1B876687">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（1）本项目实行一项目一评价、年度汇总考核机制，考核依据为《算力及AI Token</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综合考核表》，考核结果作为二次竞价、订单分配的重要参考。</w:t>
      </w:r>
    </w:p>
    <w:p w14:paraId="5EC4977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（2）框架协议有效期内，</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单次考核得分低于60 分即为不合格；累计出现2次及以上不合格，采购人有权直接将其清退出入围库、终止合作。</w:t>
      </w:r>
    </w:p>
    <w:p w14:paraId="701E3ACA">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（3）被清退、主动退出入围库的</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，不得再次申请加入本次同一入围库。</w:t>
      </w:r>
    </w:p>
    <w:p w14:paraId="0D5336E0">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（4）合作期间，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出现恶意断供、频繁故障、擅自涨价、重大合规风险、重大投诉等情形，采购人可随时约谈、限期整改、暂停询比价资格、直接清退出入围库。</w:t>
      </w:r>
    </w:p>
    <w:p w14:paraId="36B10DA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outlineLvl w:val="1"/>
        <w:rPr>
          <w:rFonts w:hint="eastAsia" w:asciiTheme="minorEastAsia" w:hAnsiTheme="minorEastAsia" w:eastAsiaTheme="minorEastAsia" w:cstheme="minorEastAsia"/>
          <w:b/>
          <w:bCs/>
          <w:color w:val="auto"/>
          <w:sz w:val="24"/>
          <w:szCs w:val="24"/>
          <w:highlight w:val="none"/>
          <w:shd w:val="clear" w:color="auto" w:fill="FFFFFF"/>
          <w:lang w:eastAsia="zh-CN"/>
        </w:rPr>
      </w:pPr>
      <w:bookmarkStart w:id="58" w:name="_Toc31245"/>
      <w:r>
        <w:rPr>
          <w:rFonts w:hint="eastAsia" w:asciiTheme="minorEastAsia" w:hAnsiTheme="minorEastAsia" w:eastAsiaTheme="minorEastAsia" w:cstheme="minorEastAsia"/>
          <w:b/>
          <w:bCs/>
          <w:color w:val="auto"/>
          <w:sz w:val="24"/>
          <w:szCs w:val="24"/>
          <w:highlight w:val="none"/>
          <w:shd w:val="clear" w:color="auto" w:fill="FFFFFF"/>
          <w:lang w:val="en-US" w:eastAsia="zh-CN"/>
        </w:rPr>
        <w:t>四</w:t>
      </w:r>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rPr>
        <w:t>商务条件</w:t>
      </w:r>
      <w:bookmarkEnd w:id="50"/>
      <w:bookmarkEnd w:id="51"/>
      <w:bookmarkEnd w:id="52"/>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标段</w:t>
      </w:r>
      <w:r>
        <w:rPr>
          <w:rFonts w:hint="eastAsia" w:asciiTheme="minorEastAsia" w:hAnsiTheme="minorEastAsia" w:eastAsiaTheme="minorEastAsia" w:cstheme="minorEastAsia"/>
          <w:b/>
          <w:bCs/>
          <w:color w:val="auto"/>
          <w:sz w:val="24"/>
          <w:szCs w:val="24"/>
          <w:highlight w:val="none"/>
          <w:shd w:val="clear" w:color="auto" w:fill="FFFFFF"/>
          <w:lang w:eastAsia="zh-CN"/>
        </w:rPr>
        <w:t>一至</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标段三</w:t>
      </w:r>
      <w:r>
        <w:rPr>
          <w:rFonts w:hint="eastAsia" w:asciiTheme="minorEastAsia" w:hAnsiTheme="minorEastAsia" w:eastAsiaTheme="minorEastAsia" w:cstheme="minorEastAsia"/>
          <w:b/>
          <w:bCs/>
          <w:color w:val="auto"/>
          <w:sz w:val="24"/>
          <w:szCs w:val="24"/>
          <w:highlight w:val="none"/>
          <w:shd w:val="clear" w:color="auto" w:fill="FFFFFF"/>
          <w:lang w:eastAsia="zh-CN"/>
        </w:rPr>
        <w:t>）</w:t>
      </w:r>
      <w:bookmarkEnd w:id="58"/>
    </w:p>
    <w:p w14:paraId="4E55D87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rPr>
        <w:t>、交付时间：</w:t>
      </w:r>
      <w:r>
        <w:rPr>
          <w:rFonts w:hint="eastAsia" w:asciiTheme="minorEastAsia" w:hAnsiTheme="minorEastAsia" w:eastAsiaTheme="minorEastAsia" w:cstheme="minorEastAsia"/>
          <w:b/>
          <w:bCs/>
          <w:color w:val="auto"/>
          <w:kern w:val="0"/>
          <w:sz w:val="24"/>
          <w:szCs w:val="24"/>
          <w:highlight w:val="none"/>
          <w:lang w:val="en-US" w:eastAsia="zh-CN"/>
        </w:rPr>
        <w:t>根据第二阶段项目具体要求执行</w:t>
      </w:r>
    </w:p>
    <w:p w14:paraId="5A5972C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、交付条件：满足</w:t>
      </w:r>
      <w:r>
        <w:rPr>
          <w:rFonts w:hint="eastAsia" w:asciiTheme="minorEastAsia" w:hAnsiTheme="minorEastAsia" w:eastAsiaTheme="minorEastAsia" w:cstheme="minorEastAsia"/>
          <w:b/>
          <w:bCs/>
          <w:color w:val="auto"/>
          <w:kern w:val="0"/>
          <w:sz w:val="24"/>
          <w:szCs w:val="24"/>
          <w:highlight w:val="none"/>
          <w:lang w:eastAsia="zh-CN"/>
        </w:rPr>
        <w:t>采购人</w:t>
      </w:r>
      <w:r>
        <w:rPr>
          <w:rFonts w:hint="eastAsia" w:asciiTheme="minorEastAsia" w:hAnsiTheme="minorEastAsia" w:eastAsiaTheme="minorEastAsia" w:cstheme="minorEastAsia"/>
          <w:b/>
          <w:bCs/>
          <w:color w:val="auto"/>
          <w:kern w:val="0"/>
          <w:sz w:val="24"/>
          <w:szCs w:val="24"/>
          <w:highlight w:val="none"/>
        </w:rPr>
        <w:t>技术和服务要求</w:t>
      </w:r>
    </w:p>
    <w:p w14:paraId="1B77485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eastAsia="zh-CN"/>
        </w:rPr>
        <w:t>付款方式：</w:t>
      </w:r>
      <w:r>
        <w:rPr>
          <w:rFonts w:hint="eastAsia" w:asciiTheme="minorEastAsia" w:hAnsiTheme="minorEastAsia" w:eastAsiaTheme="minorEastAsia" w:cstheme="minorEastAsia"/>
          <w:b/>
          <w:bCs/>
          <w:color w:val="auto"/>
          <w:kern w:val="0"/>
          <w:sz w:val="24"/>
          <w:szCs w:val="24"/>
          <w:highlight w:val="none"/>
          <w:lang w:val="en-US" w:eastAsia="zh-CN"/>
        </w:rPr>
        <w:t>根据第二阶段项目具体要求执行</w:t>
      </w:r>
    </w:p>
    <w:p w14:paraId="173DCA38">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4、本项目根据实际发生量据实进行结算，成交服务商必须无条件配合采购人做好款项结算手续。</w:t>
      </w:r>
    </w:p>
    <w:p w14:paraId="048FB9C8">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textAlignment w:val="auto"/>
        <w:outlineLvl w:val="1"/>
        <w:rPr>
          <w:rStyle w:val="41"/>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pPr>
      <w:bookmarkStart w:id="59" w:name="_Toc15859"/>
      <w:bookmarkStart w:id="60" w:name="_Toc4218"/>
      <w:bookmarkStart w:id="61" w:name="_Toc18366"/>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五、</w:t>
      </w:r>
      <w:r>
        <w:rPr>
          <w:rFonts w:hint="eastAsia" w:asciiTheme="minorEastAsia" w:hAnsiTheme="minorEastAsia" w:eastAsiaTheme="minorEastAsia" w:cstheme="minorEastAsia"/>
          <w:b/>
          <w:bCs/>
          <w:color w:val="auto"/>
          <w:sz w:val="24"/>
          <w:szCs w:val="24"/>
          <w:highlight w:val="none"/>
          <w:shd w:val="clear" w:color="auto" w:fill="FFFFFF"/>
        </w:rPr>
        <w:t>不可抗力</w:t>
      </w:r>
      <w:bookmarkEnd w:id="59"/>
      <w:bookmarkEnd w:id="60"/>
      <w:bookmarkEnd w:id="61"/>
    </w:p>
    <w:p w14:paraId="5939B9F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1.因不可抗力导致服务商无法正常履约、延迟履约或部分履约的，受影响方须第一时间向采购人进行书面告知，并在15日内提交主管机关出具的有效证明材料，可根据实际情况申请延期、部分或全部免责，不得无故拒供、停服。</w:t>
      </w:r>
    </w:p>
    <w:p w14:paraId="26B313E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2.本文件所指不可抗力，包括但不限于国家政策调整、算力及大模型监管政策更新、机房重大故障、公网中断、政府管控行为、法律法规变更等不能预见、不能避免且不能克服的客观情况。</w:t>
      </w:r>
    </w:p>
    <w:p w14:paraId="224E830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3.不可抗力影响消除后，服务商须第一时间恢复全部服务，最大限度降低采购人业务损失</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w:t>
      </w:r>
    </w:p>
    <w:p w14:paraId="0A1617BC">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textAlignment w:val="auto"/>
        <w:outlineLvl w:val="1"/>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bookmarkStart w:id="62" w:name="_Toc18341"/>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六、附件</w:t>
      </w:r>
      <w:bookmarkEnd w:id="62"/>
    </w:p>
    <w:p w14:paraId="7145D19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1.附件1：《算力及AI Token服务商综合考核表》</w:t>
      </w:r>
    </w:p>
    <w:p w14:paraId="22CA4BE1">
      <w:pP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4687AE0A">
      <w:pPr>
        <w:spacing w:before="380" w:after="140" w:line="288" w:lineRule="auto"/>
        <w:jc w:val="left"/>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w:t>
      </w:r>
    </w:p>
    <w:p w14:paraId="136648D5">
      <w:pPr>
        <w:spacing w:line="50" w:lineRule="exact"/>
        <w:outlineLvl w:val="9"/>
        <w:rPr>
          <w:rFonts w:hint="eastAsia" w:ascii="宋体" w:hAnsi="宋体" w:eastAsia="宋体" w:cs="宋体"/>
          <w:color w:val="000000" w:themeColor="text1"/>
          <w:sz w:val="21"/>
          <w:szCs w:val="21"/>
          <w:highlight w:val="none"/>
          <w14:textFill>
            <w14:solidFill>
              <w14:schemeClr w14:val="tx1"/>
            </w14:solidFill>
          </w14:textFill>
        </w:rPr>
      </w:pPr>
    </w:p>
    <w:p w14:paraId="25CEBE5E">
      <w:pPr>
        <w:spacing w:before="380" w:after="140" w:line="288" w:lineRule="auto"/>
        <w:ind w:firstLine="0"/>
        <w:jc w:val="center"/>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算力及AI Token</w:t>
      </w:r>
      <w:r>
        <w:rPr>
          <w:rFonts w:hint="eastAsia" w:ascii="方正小标宋简体" w:hAnsi="方正小标宋简体" w:eastAsia="方正小标宋简体" w:cs="方正小标宋简体"/>
          <w:bCs/>
          <w:sz w:val="44"/>
          <w:szCs w:val="44"/>
          <w:lang w:eastAsia="zh-CN"/>
        </w:rPr>
        <w:t>服务商</w:t>
      </w:r>
      <w:r>
        <w:rPr>
          <w:rFonts w:hint="eastAsia" w:ascii="方正小标宋简体" w:hAnsi="方正小标宋简体" w:eastAsia="方正小标宋简体" w:cs="方正小标宋简体"/>
          <w:bCs/>
          <w:sz w:val="44"/>
          <w:szCs w:val="44"/>
        </w:rPr>
        <w:t>综合考核表</w:t>
      </w:r>
    </w:p>
    <w:p w14:paraId="603DE2CA">
      <w:pPr>
        <w:spacing w:before="380" w:after="140" w:line="288" w:lineRule="auto"/>
        <w:jc w:val="left"/>
        <w:outlineLvl w:val="9"/>
        <w:rPr>
          <w:rFonts w:hint="eastAsia" w:ascii="宋体" w:hAnsi="宋体" w:eastAsia="宋体" w:cs="宋体"/>
          <w:sz w:val="24"/>
          <w:szCs w:val="24"/>
        </w:rPr>
      </w:pPr>
      <w:r>
        <w:rPr>
          <w:rFonts w:hint="eastAsia" w:ascii="宋体" w:hAnsi="宋体" w:eastAsia="宋体" w:cs="宋体"/>
          <w:b/>
          <w:sz w:val="24"/>
          <w:szCs w:val="24"/>
        </w:rPr>
        <w:t>考核方式</w:t>
      </w:r>
      <w:r>
        <w:rPr>
          <w:rFonts w:hint="eastAsia" w:ascii="宋体" w:hAnsi="宋体" w:eastAsia="宋体" w:cs="宋体"/>
          <w:sz w:val="24"/>
          <w:szCs w:val="24"/>
        </w:rPr>
        <w:t>：一项目一评价、年度汇总考核</w:t>
      </w:r>
      <w:r>
        <w:rPr>
          <w:rFonts w:hint="eastAsia" w:ascii="宋体" w:hAnsi="宋体" w:eastAsia="宋体" w:cs="宋体"/>
          <w:sz w:val="24"/>
          <w:szCs w:val="24"/>
        </w:rPr>
        <w:br w:type="textWrapping"/>
      </w:r>
      <w:r>
        <w:rPr>
          <w:rFonts w:hint="eastAsia" w:ascii="宋体" w:hAnsi="宋体" w:eastAsia="宋体" w:cs="宋体"/>
          <w:b/>
          <w:sz w:val="24"/>
          <w:szCs w:val="24"/>
        </w:rPr>
        <w:t>考核主体</w:t>
      </w:r>
      <w:r>
        <w:rPr>
          <w:rFonts w:hint="eastAsia" w:ascii="宋体" w:hAnsi="宋体" w:eastAsia="宋体" w:cs="宋体"/>
          <w:sz w:val="24"/>
          <w:szCs w:val="24"/>
        </w:rPr>
        <w:t>：采购人</w:t>
      </w:r>
    </w:p>
    <w:tbl>
      <w:tblPr>
        <w:tblStyle w:val="3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1"/>
        <w:gridCol w:w="1470"/>
        <w:gridCol w:w="720"/>
        <w:gridCol w:w="4224"/>
        <w:gridCol w:w="1161"/>
        <w:gridCol w:w="738"/>
      </w:tblGrid>
      <w:tr w14:paraId="5FF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FABE1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470" w:type="dxa"/>
            <w:tcMar>
              <w:top w:w="60" w:type="dxa"/>
              <w:left w:w="120" w:type="dxa"/>
              <w:bottom w:w="30" w:type="dxa"/>
              <w:right w:w="120" w:type="dxa"/>
            </w:tcMar>
            <w:vAlign w:val="center"/>
          </w:tcPr>
          <w:p w14:paraId="09CB8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20" w:type="dxa"/>
            <w:tcMar>
              <w:top w:w="60" w:type="dxa"/>
              <w:left w:w="120" w:type="dxa"/>
              <w:bottom w:w="30" w:type="dxa"/>
              <w:right w:w="120" w:type="dxa"/>
            </w:tcMar>
            <w:vAlign w:val="center"/>
          </w:tcPr>
          <w:p w14:paraId="39A2D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4224" w:type="dxa"/>
            <w:tcMar>
              <w:top w:w="60" w:type="dxa"/>
              <w:left w:w="120" w:type="dxa"/>
              <w:bottom w:w="30" w:type="dxa"/>
              <w:right w:w="120" w:type="dxa"/>
            </w:tcMar>
            <w:vAlign w:val="center"/>
          </w:tcPr>
          <w:p w14:paraId="6D0CA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1" w:type="dxa"/>
            <w:tcMar>
              <w:top w:w="60" w:type="dxa"/>
              <w:left w:w="120" w:type="dxa"/>
              <w:bottom w:w="30" w:type="dxa"/>
              <w:right w:w="120" w:type="dxa"/>
            </w:tcMar>
            <w:vAlign w:val="center"/>
          </w:tcPr>
          <w:p w14:paraId="1D42C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738" w:type="dxa"/>
            <w:tcMar>
              <w:top w:w="60" w:type="dxa"/>
              <w:left w:w="120" w:type="dxa"/>
              <w:bottom w:w="30" w:type="dxa"/>
              <w:right w:w="120" w:type="dxa"/>
            </w:tcMar>
            <w:vAlign w:val="center"/>
          </w:tcPr>
          <w:p w14:paraId="55F16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75F6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7" w:hRule="atLeast"/>
          <w:jc w:val="center"/>
        </w:trPr>
        <w:tc>
          <w:tcPr>
            <w:tcW w:w="871" w:type="dxa"/>
            <w:tcMar>
              <w:top w:w="60" w:type="dxa"/>
              <w:left w:w="120" w:type="dxa"/>
              <w:bottom w:w="30" w:type="dxa"/>
              <w:right w:w="120" w:type="dxa"/>
            </w:tcMar>
            <w:vAlign w:val="center"/>
          </w:tcPr>
          <w:p w14:paraId="117DD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服务商</w:t>
            </w:r>
            <w:r>
              <w:rPr>
                <w:rFonts w:hint="eastAsia" w:asciiTheme="minorEastAsia" w:hAnsiTheme="minorEastAsia" w:eastAsiaTheme="minorEastAsia" w:cstheme="minorEastAsia"/>
                <w:sz w:val="21"/>
                <w:szCs w:val="21"/>
              </w:rPr>
              <w:t>名称</w:t>
            </w:r>
          </w:p>
        </w:tc>
        <w:tc>
          <w:tcPr>
            <w:tcW w:w="1470" w:type="dxa"/>
            <w:tcMar>
              <w:top w:w="60" w:type="dxa"/>
              <w:left w:w="120" w:type="dxa"/>
              <w:bottom w:w="30" w:type="dxa"/>
              <w:right w:w="120" w:type="dxa"/>
            </w:tcMar>
            <w:vAlign w:val="center"/>
          </w:tcPr>
          <w:p w14:paraId="6BA2D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20" w:type="dxa"/>
            <w:tcMar>
              <w:top w:w="60" w:type="dxa"/>
              <w:left w:w="120" w:type="dxa"/>
              <w:bottom w:w="30" w:type="dxa"/>
              <w:right w:w="120" w:type="dxa"/>
            </w:tcMar>
            <w:vAlign w:val="center"/>
          </w:tcPr>
          <w:p w14:paraId="4A7EA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评价部门</w:t>
            </w:r>
          </w:p>
        </w:tc>
        <w:tc>
          <w:tcPr>
            <w:tcW w:w="4224" w:type="dxa"/>
            <w:tcMar>
              <w:top w:w="60" w:type="dxa"/>
              <w:left w:w="120" w:type="dxa"/>
              <w:bottom w:w="30" w:type="dxa"/>
              <w:right w:w="120" w:type="dxa"/>
            </w:tcMar>
            <w:vAlign w:val="center"/>
          </w:tcPr>
          <w:p w14:paraId="27EBC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1" w:type="dxa"/>
            <w:tcMar>
              <w:top w:w="60" w:type="dxa"/>
              <w:left w:w="120" w:type="dxa"/>
              <w:bottom w:w="30" w:type="dxa"/>
              <w:right w:w="120" w:type="dxa"/>
            </w:tcMar>
            <w:vAlign w:val="center"/>
          </w:tcPr>
          <w:p w14:paraId="6322A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2FD61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1E3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871" w:type="dxa"/>
            <w:tcMar>
              <w:top w:w="60" w:type="dxa"/>
              <w:left w:w="120" w:type="dxa"/>
              <w:bottom w:w="30" w:type="dxa"/>
              <w:right w:w="120" w:type="dxa"/>
            </w:tcMar>
            <w:vAlign w:val="center"/>
          </w:tcPr>
          <w:p w14:paraId="58574A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70" w:type="dxa"/>
            <w:tcMar>
              <w:top w:w="60" w:type="dxa"/>
              <w:left w:w="120" w:type="dxa"/>
              <w:bottom w:w="30" w:type="dxa"/>
              <w:right w:w="120" w:type="dxa"/>
            </w:tcMar>
            <w:vAlign w:val="center"/>
          </w:tcPr>
          <w:p w14:paraId="54E58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考核维度</w:t>
            </w:r>
          </w:p>
        </w:tc>
        <w:tc>
          <w:tcPr>
            <w:tcW w:w="720" w:type="dxa"/>
            <w:tcMar>
              <w:top w:w="60" w:type="dxa"/>
              <w:left w:w="120" w:type="dxa"/>
              <w:bottom w:w="30" w:type="dxa"/>
              <w:right w:w="120" w:type="dxa"/>
            </w:tcMar>
            <w:vAlign w:val="center"/>
          </w:tcPr>
          <w:p w14:paraId="265F0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4224" w:type="dxa"/>
            <w:tcMar>
              <w:top w:w="60" w:type="dxa"/>
              <w:left w:w="120" w:type="dxa"/>
              <w:bottom w:w="30" w:type="dxa"/>
              <w:right w:w="120" w:type="dxa"/>
            </w:tcMar>
            <w:vAlign w:val="center"/>
          </w:tcPr>
          <w:p w14:paraId="42C3B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考核评分标准</w:t>
            </w:r>
          </w:p>
        </w:tc>
        <w:tc>
          <w:tcPr>
            <w:tcW w:w="1161" w:type="dxa"/>
            <w:tcMar>
              <w:top w:w="60" w:type="dxa"/>
              <w:left w:w="120" w:type="dxa"/>
              <w:bottom w:w="30" w:type="dxa"/>
              <w:right w:w="120" w:type="dxa"/>
            </w:tcMar>
            <w:vAlign w:val="center"/>
          </w:tcPr>
          <w:p w14:paraId="3B79C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得分</w:t>
            </w:r>
          </w:p>
        </w:tc>
        <w:tc>
          <w:tcPr>
            <w:tcW w:w="738" w:type="dxa"/>
            <w:tcMar>
              <w:top w:w="60" w:type="dxa"/>
              <w:left w:w="120" w:type="dxa"/>
              <w:bottom w:w="30" w:type="dxa"/>
              <w:right w:w="120" w:type="dxa"/>
            </w:tcMar>
            <w:vAlign w:val="center"/>
          </w:tcPr>
          <w:p w14:paraId="4C175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7D54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35B075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70" w:type="dxa"/>
            <w:tcMar>
              <w:top w:w="60" w:type="dxa"/>
              <w:left w:w="120" w:type="dxa"/>
              <w:bottom w:w="30" w:type="dxa"/>
              <w:right w:w="120" w:type="dxa"/>
            </w:tcMar>
            <w:vAlign w:val="center"/>
          </w:tcPr>
          <w:p w14:paraId="1F752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资源供给履约（25 分）</w:t>
            </w:r>
          </w:p>
        </w:tc>
        <w:tc>
          <w:tcPr>
            <w:tcW w:w="720" w:type="dxa"/>
            <w:tcMar>
              <w:top w:w="60" w:type="dxa"/>
              <w:left w:w="120" w:type="dxa"/>
              <w:bottom w:w="30" w:type="dxa"/>
              <w:right w:w="120" w:type="dxa"/>
            </w:tcMar>
            <w:vAlign w:val="center"/>
          </w:tcPr>
          <w:p w14:paraId="2A1A1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4224" w:type="dxa"/>
            <w:tcMar>
              <w:top w:w="60" w:type="dxa"/>
              <w:left w:w="120" w:type="dxa"/>
              <w:bottom w:w="30" w:type="dxa"/>
              <w:right w:w="120" w:type="dxa"/>
            </w:tcMar>
            <w:vAlign w:val="center"/>
          </w:tcPr>
          <w:p w14:paraId="754AD1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按需及时完成算力、Token 资源开通及供给，无缺货、无延期交付，得满分；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单次交付轻微延迟且未影响业务，扣 5-10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交付严重滞后、资源供给不足，影响项目履约，扣 10-20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 出现无正当理由断供、停服情况，本项得 0 分。</w:t>
            </w:r>
          </w:p>
        </w:tc>
        <w:tc>
          <w:tcPr>
            <w:tcW w:w="1161" w:type="dxa"/>
            <w:tcMar>
              <w:top w:w="60" w:type="dxa"/>
              <w:left w:w="120" w:type="dxa"/>
              <w:bottom w:w="30" w:type="dxa"/>
              <w:right w:w="120" w:type="dxa"/>
            </w:tcMar>
            <w:vAlign w:val="center"/>
          </w:tcPr>
          <w:p w14:paraId="318C5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5BE60E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1273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C1CF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70" w:type="dxa"/>
            <w:tcMar>
              <w:top w:w="60" w:type="dxa"/>
              <w:left w:w="120" w:type="dxa"/>
              <w:bottom w:w="30" w:type="dxa"/>
              <w:right w:w="120" w:type="dxa"/>
            </w:tcMar>
            <w:vAlign w:val="center"/>
          </w:tcPr>
          <w:p w14:paraId="172EC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资源服务质量（25 分）</w:t>
            </w:r>
          </w:p>
        </w:tc>
        <w:tc>
          <w:tcPr>
            <w:tcW w:w="720" w:type="dxa"/>
            <w:tcMar>
              <w:top w:w="60" w:type="dxa"/>
              <w:left w:w="120" w:type="dxa"/>
              <w:bottom w:w="30" w:type="dxa"/>
              <w:right w:w="120" w:type="dxa"/>
            </w:tcMar>
            <w:vAlign w:val="center"/>
          </w:tcPr>
          <w:p w14:paraId="41138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4224" w:type="dxa"/>
            <w:tcMar>
              <w:top w:w="60" w:type="dxa"/>
              <w:left w:w="120" w:type="dxa"/>
              <w:bottom w:w="30" w:type="dxa"/>
              <w:right w:w="120" w:type="dxa"/>
            </w:tcMar>
            <w:vAlign w:val="center"/>
          </w:tcPr>
          <w:p w14:paraId="2BD3C9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算力：运行稳定，无频繁宕机、无算力衰减、无通道异常，得满分；出现故障单次扣 3-8 分，问题严重本项不得分。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AI Token：接口响应及时、调用成功率高、低延迟、数据完整准确，得满分；出现超时、报错、调用异常单次扣 3-8 分，频繁异常本项不得分。</w:t>
            </w:r>
          </w:p>
        </w:tc>
        <w:tc>
          <w:tcPr>
            <w:tcW w:w="1161" w:type="dxa"/>
            <w:tcMar>
              <w:top w:w="60" w:type="dxa"/>
              <w:left w:w="120" w:type="dxa"/>
              <w:bottom w:w="30" w:type="dxa"/>
              <w:right w:w="120" w:type="dxa"/>
            </w:tcMar>
            <w:vAlign w:val="center"/>
          </w:tcPr>
          <w:p w14:paraId="462DD8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6C915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007F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90709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70" w:type="dxa"/>
            <w:tcMar>
              <w:top w:w="60" w:type="dxa"/>
              <w:left w:w="120" w:type="dxa"/>
              <w:bottom w:w="30" w:type="dxa"/>
              <w:right w:w="120" w:type="dxa"/>
            </w:tcMar>
            <w:vAlign w:val="center"/>
          </w:tcPr>
          <w:p w14:paraId="11833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故障处置与运维保障（20 分）</w:t>
            </w:r>
          </w:p>
        </w:tc>
        <w:tc>
          <w:tcPr>
            <w:tcW w:w="720" w:type="dxa"/>
            <w:tcMar>
              <w:top w:w="60" w:type="dxa"/>
              <w:left w:w="120" w:type="dxa"/>
              <w:bottom w:w="30" w:type="dxa"/>
              <w:right w:w="120" w:type="dxa"/>
            </w:tcMar>
            <w:vAlign w:val="center"/>
          </w:tcPr>
          <w:p w14:paraId="68344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4224" w:type="dxa"/>
            <w:tcMar>
              <w:top w:w="60" w:type="dxa"/>
              <w:left w:w="120" w:type="dxa"/>
              <w:bottom w:w="30" w:type="dxa"/>
              <w:right w:w="120" w:type="dxa"/>
            </w:tcMar>
            <w:vAlign w:val="center"/>
          </w:tcPr>
          <w:p w14:paraId="35E361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严格落实 7×24 小时运维值守，故障响应及时、处置高效、按期修复，得满分；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故障响应滞后、超时修复，每次扣 5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拒不配合故障排查、同类故障反复出现，单次扣 10-20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 因运维失职造成重大业务损失，本项得 0 分。</w:t>
            </w:r>
          </w:p>
        </w:tc>
        <w:tc>
          <w:tcPr>
            <w:tcW w:w="1161" w:type="dxa"/>
            <w:tcMar>
              <w:top w:w="60" w:type="dxa"/>
              <w:left w:w="120" w:type="dxa"/>
              <w:bottom w:w="30" w:type="dxa"/>
              <w:right w:w="120" w:type="dxa"/>
            </w:tcMar>
            <w:vAlign w:val="center"/>
          </w:tcPr>
          <w:p w14:paraId="4309F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02F0D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5FDF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873A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70" w:type="dxa"/>
            <w:tcMar>
              <w:top w:w="60" w:type="dxa"/>
              <w:left w:w="120" w:type="dxa"/>
              <w:bottom w:w="30" w:type="dxa"/>
              <w:right w:w="120" w:type="dxa"/>
            </w:tcMar>
            <w:vAlign w:val="center"/>
          </w:tcPr>
          <w:p w14:paraId="0C5A2A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合规与数据安全（15 分）</w:t>
            </w:r>
          </w:p>
        </w:tc>
        <w:tc>
          <w:tcPr>
            <w:tcW w:w="720" w:type="dxa"/>
            <w:tcMar>
              <w:top w:w="60" w:type="dxa"/>
              <w:left w:w="120" w:type="dxa"/>
              <w:bottom w:w="30" w:type="dxa"/>
              <w:right w:w="120" w:type="dxa"/>
            </w:tcMar>
            <w:vAlign w:val="center"/>
          </w:tcPr>
          <w:p w14:paraId="1D8BC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4224" w:type="dxa"/>
            <w:tcMar>
              <w:top w:w="60" w:type="dxa"/>
              <w:left w:w="120" w:type="dxa"/>
              <w:bottom w:w="30" w:type="dxa"/>
              <w:right w:w="120" w:type="dxa"/>
            </w:tcMar>
            <w:vAlign w:val="center"/>
          </w:tcPr>
          <w:p w14:paraId="56D07D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严格遵守数据安全、网络安全及保密规定，无违规行为，得满分；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操作不规范、存在轻微合规瑕疵，单次扣 5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出现数据截留、私自存储、外泄、挪用等行为，本项得 0 分，并记入重大违约台账。</w:t>
            </w:r>
          </w:p>
        </w:tc>
        <w:tc>
          <w:tcPr>
            <w:tcW w:w="1161" w:type="dxa"/>
            <w:tcMar>
              <w:top w:w="60" w:type="dxa"/>
              <w:left w:w="120" w:type="dxa"/>
              <w:bottom w:w="30" w:type="dxa"/>
              <w:right w:w="120" w:type="dxa"/>
            </w:tcMar>
            <w:vAlign w:val="center"/>
          </w:tcPr>
          <w:p w14:paraId="30002B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61073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0B63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5B905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70" w:type="dxa"/>
            <w:tcMar>
              <w:top w:w="60" w:type="dxa"/>
              <w:left w:w="120" w:type="dxa"/>
              <w:bottom w:w="30" w:type="dxa"/>
              <w:right w:w="120" w:type="dxa"/>
            </w:tcMar>
            <w:vAlign w:val="center"/>
          </w:tcPr>
          <w:p w14:paraId="0F629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价格与结算配合（10 分）</w:t>
            </w:r>
          </w:p>
        </w:tc>
        <w:tc>
          <w:tcPr>
            <w:tcW w:w="720" w:type="dxa"/>
            <w:tcMar>
              <w:top w:w="60" w:type="dxa"/>
              <w:left w:w="120" w:type="dxa"/>
              <w:bottom w:w="30" w:type="dxa"/>
              <w:right w:w="120" w:type="dxa"/>
            </w:tcMar>
            <w:vAlign w:val="center"/>
          </w:tcPr>
          <w:p w14:paraId="06C79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224" w:type="dxa"/>
            <w:tcMar>
              <w:top w:w="60" w:type="dxa"/>
              <w:left w:w="120" w:type="dxa"/>
              <w:bottom w:w="30" w:type="dxa"/>
              <w:right w:w="120" w:type="dxa"/>
            </w:tcMar>
            <w:vAlign w:val="center"/>
          </w:tcPr>
          <w:p w14:paraId="58A4C1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严格遵守入围报价约定，对账清晰、资料齐全、配合度高，得满分；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对账拖沓、资料缺失、不配合结算工作，单次扣 3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无正当理由擅自涨价，本项得 0 分。</w:t>
            </w:r>
          </w:p>
        </w:tc>
        <w:tc>
          <w:tcPr>
            <w:tcW w:w="1161" w:type="dxa"/>
            <w:tcMar>
              <w:top w:w="60" w:type="dxa"/>
              <w:left w:w="120" w:type="dxa"/>
              <w:bottom w:w="30" w:type="dxa"/>
              <w:right w:w="120" w:type="dxa"/>
            </w:tcMar>
            <w:vAlign w:val="center"/>
          </w:tcPr>
          <w:p w14:paraId="2B4CE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147896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2F26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02F40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70" w:type="dxa"/>
            <w:tcMar>
              <w:top w:w="60" w:type="dxa"/>
              <w:left w:w="120" w:type="dxa"/>
              <w:bottom w:w="30" w:type="dxa"/>
              <w:right w:w="120" w:type="dxa"/>
            </w:tcMar>
            <w:vAlign w:val="center"/>
          </w:tcPr>
          <w:p w14:paraId="60150E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服务配合与响应态度（5 分）</w:t>
            </w:r>
          </w:p>
        </w:tc>
        <w:tc>
          <w:tcPr>
            <w:tcW w:w="720" w:type="dxa"/>
            <w:tcMar>
              <w:top w:w="60" w:type="dxa"/>
              <w:left w:w="120" w:type="dxa"/>
              <w:bottom w:w="30" w:type="dxa"/>
              <w:right w:w="120" w:type="dxa"/>
            </w:tcMar>
            <w:vAlign w:val="center"/>
          </w:tcPr>
          <w:p w14:paraId="081EC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224" w:type="dxa"/>
            <w:tcMar>
              <w:top w:w="60" w:type="dxa"/>
              <w:left w:w="120" w:type="dxa"/>
              <w:bottom w:w="30" w:type="dxa"/>
              <w:right w:w="120" w:type="dxa"/>
            </w:tcMar>
            <w:vAlign w:val="center"/>
          </w:tcPr>
          <w:p w14:paraId="5C3815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积极配合需求变更、资源扩容、业务整改及调试工作，沟通顺畅，得满分；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响应滞后、配合一般，单次扣 2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消极对待、拒不执行合理工作安排，本项得 0 分。</w:t>
            </w:r>
          </w:p>
        </w:tc>
        <w:tc>
          <w:tcPr>
            <w:tcW w:w="1161" w:type="dxa"/>
            <w:tcMar>
              <w:top w:w="60" w:type="dxa"/>
              <w:left w:w="120" w:type="dxa"/>
              <w:bottom w:w="30" w:type="dxa"/>
              <w:right w:w="120" w:type="dxa"/>
            </w:tcMar>
            <w:vAlign w:val="center"/>
          </w:tcPr>
          <w:p w14:paraId="34ACB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79AAA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4F1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328475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合计总分</w:t>
            </w:r>
          </w:p>
        </w:tc>
        <w:tc>
          <w:tcPr>
            <w:tcW w:w="1470" w:type="dxa"/>
            <w:tcMar>
              <w:top w:w="60" w:type="dxa"/>
              <w:left w:w="120" w:type="dxa"/>
              <w:bottom w:w="30" w:type="dxa"/>
              <w:right w:w="120" w:type="dxa"/>
            </w:tcMar>
            <w:vAlign w:val="center"/>
          </w:tcPr>
          <w:p w14:paraId="6A849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20" w:type="dxa"/>
            <w:tcMar>
              <w:top w:w="60" w:type="dxa"/>
              <w:left w:w="120" w:type="dxa"/>
              <w:bottom w:w="30" w:type="dxa"/>
              <w:right w:w="120" w:type="dxa"/>
            </w:tcMar>
            <w:vAlign w:val="center"/>
          </w:tcPr>
          <w:p w14:paraId="0471C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4224" w:type="dxa"/>
            <w:tcMar>
              <w:top w:w="60" w:type="dxa"/>
              <w:left w:w="120" w:type="dxa"/>
              <w:bottom w:w="30" w:type="dxa"/>
              <w:right w:w="120" w:type="dxa"/>
            </w:tcMar>
            <w:vAlign w:val="center"/>
          </w:tcPr>
          <w:p w14:paraId="7C6B44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61" w:type="dxa"/>
            <w:tcMar>
              <w:top w:w="60" w:type="dxa"/>
              <w:left w:w="120" w:type="dxa"/>
              <w:bottom w:w="30" w:type="dxa"/>
              <w:right w:w="120" w:type="dxa"/>
            </w:tcMar>
            <w:vAlign w:val="center"/>
          </w:tcPr>
          <w:p w14:paraId="41D8CF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5F00D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bl>
    <w:p w14:paraId="662228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3" w:name="heading_12"/>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eastAsia="宋体" w:cs="宋体"/>
          <w:b/>
          <w:bCs/>
          <w:sz w:val="24"/>
          <w:szCs w:val="24"/>
        </w:rPr>
        <w:t>考核说明</w:t>
      </w:r>
      <w:bookmarkEnd w:id="63"/>
    </w:p>
    <w:p w14:paraId="47FAF7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1.单次考核满分 100 分，60 分（不含）以下为不合格；框架协议期内累计2次及以上不合格，采购人有权将</w:t>
      </w:r>
      <w:r>
        <w:rPr>
          <w:rFonts w:hint="eastAsia" w:ascii="宋体" w:hAnsi="宋体" w:eastAsia="宋体" w:cs="宋体"/>
          <w:sz w:val="24"/>
          <w:szCs w:val="24"/>
          <w:lang w:eastAsia="zh-CN"/>
        </w:rPr>
        <w:t>服务商</w:t>
      </w:r>
      <w:r>
        <w:rPr>
          <w:rFonts w:hint="eastAsia" w:ascii="宋体" w:hAnsi="宋体" w:eastAsia="宋体" w:cs="宋体"/>
          <w:sz w:val="24"/>
          <w:szCs w:val="24"/>
        </w:rPr>
        <w:t>清退出入围库。</w:t>
      </w:r>
    </w:p>
    <w:p w14:paraId="361A2A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2.考核结果作为后续二次竞价、订单分配、资源优先级调整的核心依据。</w:t>
      </w:r>
    </w:p>
    <w:p w14:paraId="0455A2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3.所有考核资料统一归档，作为履约台账留存。</w:t>
      </w:r>
    </w:p>
    <w:p w14:paraId="530F075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4" w:name="heading_13"/>
      <w:r>
        <w:rPr>
          <w:rFonts w:hint="eastAsia" w:ascii="宋体" w:hAnsi="宋体" w:eastAsia="宋体" w:cs="宋体"/>
          <w:b/>
          <w:bCs/>
          <w:sz w:val="24"/>
          <w:szCs w:val="24"/>
        </w:rPr>
        <w:t>（二）加减分项（不计入基础总分，作为年度汰换参考）</w:t>
      </w:r>
      <w:bookmarkEnd w:id="64"/>
    </w:p>
    <w:p w14:paraId="01F073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1.加分项：主动承接应急任务、自主扩容保障高峰需求、全年零故障零投诉，单次加 3-5 分，年度累计加分最高 10 分。</w:t>
      </w:r>
    </w:p>
    <w:p w14:paraId="46392A3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2.扣分项：被正式投诉、同类故障重复发生、拒不配合价格复核，每次扣 5 分；出现行业行政处罚、合规风险预警，单次扣 10 分。</w:t>
      </w:r>
    </w:p>
    <w:p w14:paraId="659835A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5" w:name="heading_14"/>
      <w:r>
        <w:rPr>
          <w:rFonts w:hint="eastAsia" w:ascii="宋体" w:hAnsi="宋体" w:eastAsia="宋体" w:cs="宋体"/>
          <w:b/>
          <w:bCs/>
          <w:sz w:val="24"/>
          <w:szCs w:val="24"/>
        </w:rPr>
        <w:t>（三）考核结果处置规则</w:t>
      </w:r>
      <w:bookmarkEnd w:id="65"/>
    </w:p>
    <w:p w14:paraId="4EC728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1.得分≥80 分（优秀）：二次竞价、订单分配优先考虑；</w:t>
      </w:r>
    </w:p>
    <w:p w14:paraId="1F1F52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2.60 分≤得分＜80 分（合格）：正常保留入围资格，限期整改现存问题；</w:t>
      </w:r>
    </w:p>
    <w:p w14:paraId="45FC62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3.得分＜60 分（不合格）：记录不合格台账，</w:t>
      </w:r>
      <w:r>
        <w:rPr>
          <w:rFonts w:hint="eastAsia" w:ascii="宋体" w:hAnsi="宋体" w:eastAsia="宋体" w:cs="宋体"/>
          <w:sz w:val="24"/>
          <w:szCs w:val="24"/>
          <w:lang w:eastAsia="zh-CN"/>
        </w:rPr>
        <w:t>服务商</w:t>
      </w:r>
      <w:r>
        <w:rPr>
          <w:rFonts w:hint="eastAsia" w:ascii="宋体" w:hAnsi="宋体" w:eastAsia="宋体" w:cs="宋体"/>
          <w:sz w:val="24"/>
          <w:szCs w:val="24"/>
        </w:rPr>
        <w:t>须提交书面整改报告并完成闭环整改；</w:t>
      </w:r>
    </w:p>
    <w:p w14:paraId="0AC11F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4.累计 2 次及以上不合格：直接清退出入围库，永久不得参与本次入围征集；</w:t>
      </w:r>
    </w:p>
    <w:p w14:paraId="051716A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5.发生数据泄露、恶意断供、价格欺诈等重大违约行为，实行一票否决，立即清退并追究相关责任。</w:t>
      </w:r>
    </w:p>
    <w:p w14:paraId="3BD4BBA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6" w:name="heading_15"/>
      <w:r>
        <w:rPr>
          <w:rFonts w:hint="eastAsia" w:ascii="宋体" w:hAnsi="宋体" w:eastAsia="宋体" w:cs="宋体"/>
          <w:b/>
          <w:bCs/>
          <w:sz w:val="24"/>
          <w:szCs w:val="24"/>
        </w:rPr>
        <w:t>（四）考核备案信息</w:t>
      </w:r>
      <w:bookmarkEnd w:id="66"/>
    </w:p>
    <w:p w14:paraId="68BAC853">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rPr>
      </w:pPr>
      <w:r>
        <w:rPr>
          <w:rFonts w:hint="eastAsia" w:ascii="宋体" w:hAnsi="宋体" w:eastAsia="宋体" w:cs="宋体"/>
          <w:sz w:val="24"/>
          <w:szCs w:val="24"/>
        </w:rPr>
        <w:t>考核项目名称：__________</w:t>
      </w:r>
      <w:r>
        <w:rPr>
          <w:rFonts w:hint="eastAsia" w:ascii="宋体" w:hAnsi="宋体" w:eastAsia="宋体" w:cs="宋体"/>
          <w:sz w:val="24"/>
          <w:szCs w:val="24"/>
        </w:rPr>
        <w:br w:type="textWrapping"/>
      </w:r>
      <w:r>
        <w:rPr>
          <w:rFonts w:hint="eastAsia" w:ascii="宋体" w:hAnsi="宋体" w:eastAsia="宋体" w:cs="宋体"/>
          <w:sz w:val="24"/>
          <w:szCs w:val="24"/>
        </w:rPr>
        <w:t>服务</w:t>
      </w:r>
      <w:r>
        <w:rPr>
          <w:rFonts w:hint="eastAsia" w:ascii="宋体" w:hAnsi="宋体" w:eastAsia="宋体" w:cs="宋体"/>
          <w:sz w:val="24"/>
          <w:szCs w:val="24"/>
          <w:lang w:eastAsia="zh-CN"/>
        </w:rPr>
        <w:t>服务商</w:t>
      </w:r>
      <w:r>
        <w:rPr>
          <w:rFonts w:hint="eastAsia" w:ascii="宋体" w:hAnsi="宋体" w:eastAsia="宋体" w:cs="宋体"/>
          <w:sz w:val="24"/>
          <w:szCs w:val="24"/>
        </w:rPr>
        <w:t>名称：__________</w:t>
      </w:r>
      <w:r>
        <w:rPr>
          <w:rFonts w:hint="eastAsia" w:ascii="宋体" w:hAnsi="宋体" w:eastAsia="宋体" w:cs="宋体"/>
          <w:sz w:val="24"/>
          <w:szCs w:val="24"/>
        </w:rPr>
        <w:br w:type="textWrapping"/>
      </w:r>
      <w:r>
        <w:rPr>
          <w:rFonts w:hint="eastAsia" w:ascii="宋体" w:hAnsi="宋体" w:eastAsia="宋体" w:cs="宋体"/>
          <w:sz w:val="24"/>
          <w:szCs w:val="24"/>
        </w:rPr>
        <w:t>考核周期：____年____月____日 —— ____年____月____日</w:t>
      </w:r>
      <w:r>
        <w:rPr>
          <w:rFonts w:hint="eastAsia" w:ascii="宋体" w:hAnsi="宋体" w:eastAsia="宋体" w:cs="宋体"/>
          <w:sz w:val="24"/>
          <w:szCs w:val="24"/>
        </w:rPr>
        <w:br w:type="textWrapping"/>
      </w:r>
      <w:r>
        <w:rPr>
          <w:rFonts w:hint="eastAsia" w:ascii="宋体" w:hAnsi="宋体" w:eastAsia="宋体" w:cs="宋体"/>
          <w:sz w:val="24"/>
          <w:szCs w:val="24"/>
        </w:rPr>
        <w:t>本次考核得分：__________</w:t>
      </w:r>
      <w:r>
        <w:rPr>
          <w:rFonts w:hint="eastAsia" w:ascii="宋体" w:hAnsi="宋体" w:eastAsia="宋体" w:cs="宋体"/>
          <w:sz w:val="24"/>
          <w:szCs w:val="24"/>
        </w:rPr>
        <w:br w:type="textWrapping"/>
      </w:r>
      <w:r>
        <w:rPr>
          <w:rFonts w:hint="eastAsia" w:ascii="宋体" w:hAnsi="宋体" w:eastAsia="宋体" w:cs="宋体"/>
          <w:sz w:val="24"/>
          <w:szCs w:val="24"/>
        </w:rPr>
        <w:t>存在问题及整改要求：__________</w:t>
      </w:r>
      <w:r>
        <w:rPr>
          <w:rFonts w:hint="eastAsia" w:ascii="宋体" w:hAnsi="宋体" w:eastAsia="宋体" w:cs="宋体"/>
          <w:sz w:val="24"/>
          <w:szCs w:val="24"/>
        </w:rPr>
        <w:br w:type="textWrapping"/>
      </w:r>
      <w:r>
        <w:rPr>
          <w:rFonts w:hint="eastAsia" w:ascii="宋体" w:hAnsi="宋体" w:eastAsia="宋体" w:cs="宋体"/>
          <w:sz w:val="24"/>
          <w:szCs w:val="24"/>
        </w:rPr>
        <w:t>整改完成情况：__________</w:t>
      </w:r>
      <w:r>
        <w:rPr>
          <w:rFonts w:hint="eastAsia" w:ascii="宋体" w:hAnsi="宋体" w:eastAsia="宋体" w:cs="宋体"/>
          <w:sz w:val="24"/>
          <w:szCs w:val="24"/>
        </w:rPr>
        <w:br w:type="textWrapping"/>
      </w:r>
      <w:r>
        <w:rPr>
          <w:rFonts w:hint="eastAsia" w:ascii="宋体" w:hAnsi="宋体" w:eastAsia="宋体" w:cs="宋体"/>
          <w:sz w:val="24"/>
          <w:szCs w:val="24"/>
        </w:rPr>
        <w:t>考核人签字：__________</w:t>
      </w:r>
      <w:r>
        <w:rPr>
          <w:rFonts w:hint="eastAsia" w:ascii="宋体" w:hAnsi="宋体" w:eastAsia="宋体" w:cs="宋体"/>
          <w:sz w:val="24"/>
          <w:szCs w:val="24"/>
        </w:rPr>
        <w:br w:type="textWrapping"/>
      </w:r>
      <w:r>
        <w:rPr>
          <w:rFonts w:hint="eastAsia" w:ascii="宋体" w:hAnsi="宋体" w:eastAsia="宋体" w:cs="宋体"/>
          <w:sz w:val="24"/>
          <w:szCs w:val="24"/>
        </w:rPr>
        <w:t>审核人签字：__________</w:t>
      </w:r>
      <w:r>
        <w:rPr>
          <w:rFonts w:hint="eastAsia" w:ascii="宋体" w:hAnsi="宋体" w:eastAsia="宋体" w:cs="宋体"/>
          <w:sz w:val="24"/>
          <w:szCs w:val="24"/>
        </w:rPr>
        <w:br w:type="textWrapping"/>
      </w:r>
      <w:r>
        <w:rPr>
          <w:rFonts w:hint="eastAsia" w:ascii="宋体" w:hAnsi="宋体" w:eastAsia="宋体" w:cs="宋体"/>
          <w:sz w:val="24"/>
          <w:szCs w:val="24"/>
        </w:rPr>
        <w:t>考核日期：____年____月____日</w:t>
      </w:r>
    </w:p>
    <w:p w14:paraId="34442849">
      <w:pPr>
        <w:pStyle w:val="2"/>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67" w:name="_Toc18245"/>
      <w:bookmarkStart w:id="68" w:name="_Toc6308"/>
    </w:p>
    <w:p w14:paraId="579D687C">
      <w:pPr>
        <w:spacing w:line="360" w:lineRule="auto"/>
        <w:jc w:val="center"/>
        <w:outlineLvl w:val="0"/>
        <w:rPr>
          <w:rFonts w:ascii="宋体" w:hAnsi="宋体" w:cs="宋体"/>
          <w:b/>
          <w:color w:val="auto"/>
          <w:sz w:val="44"/>
          <w:szCs w:val="44"/>
          <w:highlight w:val="none"/>
        </w:rPr>
      </w:pPr>
      <w:bookmarkStart w:id="69" w:name="_Toc9406"/>
      <w:r>
        <w:rPr>
          <w:rFonts w:hint="eastAsia" w:ascii="宋体" w:hAnsi="宋体" w:cs="宋体"/>
          <w:b/>
          <w:color w:val="auto"/>
          <w:sz w:val="44"/>
          <w:szCs w:val="44"/>
          <w:highlight w:val="none"/>
        </w:rPr>
        <w:t>第</w:t>
      </w:r>
      <w:r>
        <w:rPr>
          <w:rFonts w:hint="eastAsia" w:ascii="宋体" w:hAnsi="宋体" w:cs="宋体"/>
          <w:b/>
          <w:color w:val="auto"/>
          <w:sz w:val="44"/>
          <w:szCs w:val="44"/>
          <w:highlight w:val="none"/>
          <w:lang w:eastAsia="zh-CN"/>
        </w:rPr>
        <w:t>四</w:t>
      </w:r>
      <w:r>
        <w:rPr>
          <w:rFonts w:hint="eastAsia" w:ascii="宋体" w:hAnsi="宋体" w:cs="宋体"/>
          <w:b/>
          <w:color w:val="auto"/>
          <w:sz w:val="44"/>
          <w:szCs w:val="44"/>
          <w:highlight w:val="none"/>
        </w:rPr>
        <w:t xml:space="preserve">章 </w:t>
      </w:r>
      <w:r>
        <w:rPr>
          <w:rFonts w:hint="eastAsia" w:ascii="宋体" w:hAnsi="宋体" w:cs="宋体"/>
          <w:b/>
          <w:color w:val="auto"/>
          <w:sz w:val="44"/>
          <w:szCs w:val="44"/>
          <w:highlight w:val="none"/>
          <w:lang w:eastAsia="zh-CN"/>
        </w:rPr>
        <w:t>申请文件</w:t>
      </w:r>
      <w:r>
        <w:rPr>
          <w:rFonts w:hint="eastAsia" w:ascii="宋体" w:hAnsi="宋体" w:cs="宋体"/>
          <w:b/>
          <w:color w:val="auto"/>
          <w:sz w:val="44"/>
          <w:szCs w:val="44"/>
          <w:highlight w:val="none"/>
        </w:rPr>
        <w:t>格式</w:t>
      </w:r>
      <w:bookmarkEnd w:id="67"/>
      <w:bookmarkEnd w:id="68"/>
      <w:bookmarkEnd w:id="69"/>
    </w:p>
    <w:tbl>
      <w:tblPr>
        <w:tblStyle w:val="3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3B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06BD0397">
            <w:pPr>
              <w:spacing w:line="312" w:lineRule="auto"/>
              <w:jc w:val="left"/>
              <w:rPr>
                <w:rFonts w:ascii="宋体" w:hAnsi="宋体" w:cs="宋体"/>
                <w:color w:val="auto"/>
                <w:sz w:val="24"/>
                <w:highlight w:val="none"/>
              </w:rPr>
            </w:pPr>
            <w:r>
              <w:rPr>
                <w:rFonts w:hint="eastAsia" w:ascii="宋体" w:hAnsi="宋体" w:cs="宋体"/>
                <w:color w:val="auto"/>
                <w:sz w:val="24"/>
                <w:highlight w:val="none"/>
              </w:rPr>
              <w:t>注释： 《</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格式》是</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的部分</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格式和签订合同时所需文件的格式。</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参照这些格式文件制作</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w:t>
            </w:r>
          </w:p>
        </w:tc>
      </w:tr>
    </w:tbl>
    <w:p w14:paraId="0D034096">
      <w:pPr>
        <w:spacing w:line="312" w:lineRule="auto"/>
        <w:jc w:val="center"/>
        <w:rPr>
          <w:rFonts w:hint="eastAsia" w:ascii="宋体" w:hAnsi="宋体" w:eastAsia="宋体" w:cs="宋体"/>
          <w:b/>
          <w:color w:val="auto"/>
          <w:sz w:val="44"/>
          <w:szCs w:val="44"/>
          <w:highlight w:val="none"/>
          <w:lang w:eastAsia="zh-CN"/>
        </w:rPr>
      </w:pPr>
      <w:r>
        <w:rPr>
          <w:rFonts w:hint="eastAsia" w:ascii="宋体" w:hAnsi="宋体" w:cs="宋体"/>
          <w:b/>
          <w:bCs/>
          <w:color w:val="auto"/>
          <w:sz w:val="44"/>
          <w:szCs w:val="44"/>
          <w:highlight w:val="none"/>
          <w:lang w:val="en-US" w:eastAsia="zh-CN"/>
        </w:rPr>
        <w:t>实达集团算力及AI Token资源服务采购项目</w:t>
      </w:r>
    </w:p>
    <w:p w14:paraId="3111F1EF">
      <w:pPr>
        <w:spacing w:line="312" w:lineRule="auto"/>
        <w:jc w:val="center"/>
        <w:rPr>
          <w:rFonts w:ascii="宋体" w:hAnsi="宋体" w:cs="宋体"/>
          <w:b/>
          <w:color w:val="auto"/>
          <w:sz w:val="32"/>
          <w:szCs w:val="32"/>
          <w:highlight w:val="none"/>
        </w:rPr>
      </w:pPr>
    </w:p>
    <w:p w14:paraId="15A00AA1">
      <w:pPr>
        <w:spacing w:line="312"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申请文件</w:t>
      </w:r>
    </w:p>
    <w:p w14:paraId="535E3546">
      <w:pPr>
        <w:spacing w:line="312" w:lineRule="auto"/>
        <w:jc w:val="center"/>
        <w:rPr>
          <w:rFonts w:hint="eastAsia" w:ascii="宋体" w:hAnsi="宋体" w:cs="宋体"/>
          <w:b/>
          <w:color w:val="auto"/>
          <w:sz w:val="44"/>
          <w:szCs w:val="44"/>
          <w:highlight w:val="none"/>
        </w:rPr>
      </w:pPr>
    </w:p>
    <w:p w14:paraId="755B9D8B">
      <w:pPr>
        <w:spacing w:line="312"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w:t>
      </w:r>
      <w:r>
        <w:rPr>
          <w:rFonts w:hint="eastAsia" w:ascii="宋体" w:hAnsi="宋体" w:cs="宋体"/>
          <w:b/>
          <w:color w:val="auto"/>
          <w:sz w:val="44"/>
          <w:szCs w:val="44"/>
          <w:highlight w:val="none"/>
          <w:u w:val="single"/>
        </w:rPr>
        <w:t xml:space="preserve">       </w:t>
      </w:r>
      <w:r>
        <w:rPr>
          <w:rFonts w:hint="eastAsia" w:ascii="宋体" w:hAnsi="宋体" w:cs="宋体"/>
          <w:b/>
          <w:color w:val="auto"/>
          <w:sz w:val="44"/>
          <w:szCs w:val="44"/>
          <w:highlight w:val="none"/>
        </w:rPr>
        <w:t>本）</w:t>
      </w:r>
    </w:p>
    <w:p w14:paraId="48B0AABD">
      <w:pPr>
        <w:spacing w:line="312" w:lineRule="auto"/>
        <w:jc w:val="left"/>
        <w:rPr>
          <w:rFonts w:ascii="宋体" w:hAnsi="宋体" w:cs="宋体"/>
          <w:b/>
          <w:color w:val="auto"/>
          <w:sz w:val="24"/>
          <w:highlight w:val="none"/>
        </w:rPr>
      </w:pPr>
    </w:p>
    <w:p w14:paraId="5BED0B00">
      <w:pPr>
        <w:spacing w:line="312" w:lineRule="auto"/>
        <w:jc w:val="left"/>
        <w:rPr>
          <w:rFonts w:ascii="宋体" w:hAnsi="宋体" w:cs="宋体"/>
          <w:b/>
          <w:color w:val="auto"/>
          <w:sz w:val="24"/>
          <w:highlight w:val="none"/>
        </w:rPr>
      </w:pPr>
    </w:p>
    <w:p w14:paraId="58FF9AAF">
      <w:pPr>
        <w:spacing w:line="312" w:lineRule="auto"/>
        <w:ind w:firstLine="1532" w:firstLineChars="545"/>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 xml:space="preserve">               </w:t>
      </w:r>
    </w:p>
    <w:p w14:paraId="11EDEA20">
      <w:pPr>
        <w:spacing w:line="312" w:lineRule="auto"/>
        <w:ind w:firstLine="1532" w:firstLineChars="545"/>
        <w:jc w:val="left"/>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u w:val="none"/>
          <w:lang w:eastAsia="zh-CN"/>
        </w:rPr>
        <w:t>项目编号</w:t>
      </w:r>
      <w:r>
        <w:rPr>
          <w:rFonts w:hint="eastAsia" w:ascii="宋体" w:hAnsi="宋体" w:cs="宋体"/>
          <w:b/>
          <w:color w:val="auto"/>
          <w:sz w:val="28"/>
          <w:szCs w:val="28"/>
          <w:highlight w:val="none"/>
          <w:u w:val="none"/>
        </w:rPr>
        <w:t>：</w:t>
      </w:r>
      <w:r>
        <w:rPr>
          <w:rFonts w:hint="eastAsia" w:ascii="宋体" w:hAnsi="宋体" w:cs="宋体"/>
          <w:b/>
          <w:color w:val="auto"/>
          <w:sz w:val="28"/>
          <w:szCs w:val="28"/>
          <w:highlight w:val="none"/>
          <w:u w:val="single"/>
        </w:rPr>
        <w:t xml:space="preserve">               </w:t>
      </w:r>
    </w:p>
    <w:p w14:paraId="3BC33D9E">
      <w:pPr>
        <w:spacing w:line="312" w:lineRule="auto"/>
        <w:ind w:firstLine="1532" w:firstLineChars="545"/>
        <w:jc w:val="left"/>
        <w:rPr>
          <w:rFonts w:hint="default" w:ascii="宋体" w:hAnsi="宋体" w:cs="宋体"/>
          <w:b/>
          <w:color w:val="auto"/>
          <w:sz w:val="28"/>
          <w:szCs w:val="28"/>
          <w:highlight w:val="none"/>
          <w:u w:val="none"/>
          <w:lang w:val="en-US" w:eastAsia="zh-CN"/>
        </w:rPr>
      </w:pPr>
      <w:r>
        <w:rPr>
          <w:rFonts w:hint="eastAsia" w:ascii="宋体" w:hAnsi="宋体" w:cs="宋体"/>
          <w:b/>
          <w:color w:val="auto"/>
          <w:sz w:val="28"/>
          <w:szCs w:val="28"/>
          <w:highlight w:val="none"/>
          <w:u w:val="none"/>
          <w:lang w:val="en-US" w:eastAsia="zh-CN"/>
        </w:rPr>
        <w:t>标段：</w:t>
      </w:r>
      <w:r>
        <w:rPr>
          <w:rFonts w:hint="eastAsia" w:ascii="宋体" w:hAnsi="宋体" w:cs="宋体"/>
          <w:b/>
          <w:color w:val="auto"/>
          <w:sz w:val="28"/>
          <w:szCs w:val="28"/>
          <w:highlight w:val="none"/>
          <w:u w:val="single"/>
          <w:lang w:val="en-US" w:eastAsia="zh-CN"/>
        </w:rPr>
        <w:t xml:space="preserve">                 </w:t>
      </w:r>
    </w:p>
    <w:p w14:paraId="25582A6E">
      <w:pPr>
        <w:spacing w:line="312" w:lineRule="auto"/>
        <w:jc w:val="left"/>
        <w:rPr>
          <w:rFonts w:ascii="宋体" w:hAnsi="宋体" w:cs="宋体"/>
          <w:b/>
          <w:color w:val="auto"/>
          <w:sz w:val="28"/>
          <w:szCs w:val="28"/>
          <w:highlight w:val="none"/>
        </w:rPr>
      </w:pPr>
    </w:p>
    <w:p w14:paraId="1A6527D3">
      <w:pPr>
        <w:spacing w:line="312" w:lineRule="auto"/>
        <w:jc w:val="left"/>
        <w:rPr>
          <w:rFonts w:ascii="宋体" w:hAnsi="宋体" w:cs="宋体"/>
          <w:b/>
          <w:color w:val="auto"/>
          <w:sz w:val="28"/>
          <w:szCs w:val="28"/>
          <w:highlight w:val="none"/>
        </w:rPr>
      </w:pPr>
    </w:p>
    <w:p w14:paraId="4BBD272E">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lang w:eastAsia="zh-CN"/>
        </w:rPr>
        <w:t>服务商</w:t>
      </w:r>
      <w:r>
        <w:rPr>
          <w:rFonts w:hint="eastAsia" w:ascii="宋体" w:hAnsi="宋体" w:cs="宋体"/>
          <w:b/>
          <w:color w:val="auto"/>
          <w:sz w:val="28"/>
          <w:szCs w:val="28"/>
          <w:highlight w:val="none"/>
        </w:rPr>
        <w:t>名称 ：</w:t>
      </w:r>
      <w:r>
        <w:rPr>
          <w:rFonts w:hint="eastAsia" w:ascii="宋体" w:hAnsi="宋体" w:cs="宋体"/>
          <w:b/>
          <w:color w:val="auto"/>
          <w:sz w:val="28"/>
          <w:szCs w:val="28"/>
          <w:highlight w:val="none"/>
          <w:u w:val="single"/>
        </w:rPr>
        <w:t xml:space="preserve">                                </w:t>
      </w:r>
    </w:p>
    <w:p w14:paraId="1985E222">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法定代表人姓名：</w:t>
      </w:r>
      <w:r>
        <w:rPr>
          <w:rFonts w:hint="eastAsia" w:ascii="宋体" w:hAnsi="宋体" w:cs="宋体"/>
          <w:b/>
          <w:color w:val="auto"/>
          <w:sz w:val="28"/>
          <w:szCs w:val="28"/>
          <w:highlight w:val="none"/>
          <w:u w:val="single"/>
        </w:rPr>
        <w:t xml:space="preserve">                             </w:t>
      </w:r>
    </w:p>
    <w:p w14:paraId="272CA220">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地址：</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邮编：</w:t>
      </w:r>
      <w:r>
        <w:rPr>
          <w:rFonts w:hint="eastAsia" w:ascii="宋体" w:hAnsi="宋体" w:cs="宋体"/>
          <w:b/>
          <w:color w:val="auto"/>
          <w:sz w:val="28"/>
          <w:szCs w:val="28"/>
          <w:highlight w:val="none"/>
          <w:u w:val="single"/>
        </w:rPr>
        <w:t xml:space="preserve">      </w:t>
      </w:r>
    </w:p>
    <w:p w14:paraId="6EB8ED03">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电话：</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传真：</w:t>
      </w:r>
      <w:r>
        <w:rPr>
          <w:rFonts w:hint="eastAsia" w:ascii="宋体" w:hAnsi="宋体" w:cs="宋体"/>
          <w:b/>
          <w:color w:val="auto"/>
          <w:sz w:val="28"/>
          <w:szCs w:val="28"/>
          <w:highlight w:val="none"/>
          <w:u w:val="single"/>
        </w:rPr>
        <w:t xml:space="preserve">               </w:t>
      </w:r>
    </w:p>
    <w:p w14:paraId="74CDD296">
      <w:pPr>
        <w:spacing w:line="312"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电子邮箱：</w:t>
      </w:r>
      <w:r>
        <w:rPr>
          <w:rFonts w:hint="eastAsia" w:ascii="宋体" w:hAnsi="宋体" w:cs="宋体"/>
          <w:b/>
          <w:color w:val="auto"/>
          <w:sz w:val="28"/>
          <w:szCs w:val="28"/>
          <w:highlight w:val="none"/>
          <w:u w:val="single"/>
        </w:rPr>
        <w:t xml:space="preserve">                                   </w:t>
      </w:r>
    </w:p>
    <w:p w14:paraId="30C54380">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投标代表（印刷体）：</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签字：</w:t>
      </w:r>
      <w:r>
        <w:rPr>
          <w:rFonts w:hint="eastAsia" w:ascii="宋体" w:hAnsi="宋体" w:cs="宋体"/>
          <w:b/>
          <w:color w:val="auto"/>
          <w:sz w:val="28"/>
          <w:szCs w:val="28"/>
          <w:highlight w:val="none"/>
          <w:u w:val="single"/>
        </w:rPr>
        <w:t xml:space="preserve">          </w:t>
      </w:r>
    </w:p>
    <w:p w14:paraId="17E7C130">
      <w:pPr>
        <w:spacing w:line="312" w:lineRule="auto"/>
        <w:jc w:val="left"/>
        <w:rPr>
          <w:rFonts w:ascii="宋体" w:hAnsi="宋体" w:cs="宋体"/>
          <w:b/>
          <w:color w:val="auto"/>
          <w:sz w:val="24"/>
          <w:highlight w:val="none"/>
        </w:rPr>
      </w:pPr>
      <w:r>
        <w:rPr>
          <w:rFonts w:hint="eastAsia" w:ascii="宋体" w:hAnsi="宋体" w:cs="宋体"/>
          <w:b/>
          <w:color w:val="auto"/>
          <w:sz w:val="28"/>
          <w:szCs w:val="28"/>
          <w:highlight w:val="none"/>
        </w:rPr>
        <w:t>手机：                日期 ：         年   月   日</w:t>
      </w:r>
    </w:p>
    <w:p w14:paraId="78049366">
      <w:pPr>
        <w:rPr>
          <w:color w:val="0000FF"/>
          <w:highlight w:val="none"/>
        </w:rPr>
      </w:pPr>
    </w:p>
    <w:p w14:paraId="55EA56A5">
      <w:pPr>
        <w:spacing w:line="360" w:lineRule="auto"/>
        <w:jc w:val="center"/>
        <w:rPr>
          <w:b/>
          <w:bCs/>
          <w:color w:val="0000FF"/>
          <w:kern w:val="0"/>
          <w:sz w:val="29"/>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6E4776DB">
      <w:pPr>
        <w:spacing w:line="360" w:lineRule="auto"/>
        <w:jc w:val="center"/>
        <w:rPr>
          <w:b/>
          <w:bCs/>
          <w:color w:val="auto"/>
          <w:kern w:val="0"/>
          <w:sz w:val="29"/>
          <w:highlight w:val="none"/>
        </w:rPr>
      </w:pPr>
      <w:r>
        <w:rPr>
          <w:b/>
          <w:bCs/>
          <w:color w:val="auto"/>
          <w:kern w:val="0"/>
          <w:sz w:val="29"/>
          <w:highlight w:val="none"/>
        </w:rPr>
        <w:t>索</w:t>
      </w:r>
      <w:r>
        <w:rPr>
          <w:rFonts w:hint="eastAsia"/>
          <w:b/>
          <w:bCs/>
          <w:color w:val="auto"/>
          <w:kern w:val="0"/>
          <w:sz w:val="29"/>
          <w:highlight w:val="none"/>
          <w:lang w:val="en-US" w:eastAsia="zh-CN"/>
        </w:rPr>
        <w:t xml:space="preserve">  </w:t>
      </w:r>
      <w:r>
        <w:rPr>
          <w:b/>
          <w:bCs/>
          <w:color w:val="auto"/>
          <w:kern w:val="0"/>
          <w:sz w:val="29"/>
          <w:highlight w:val="none"/>
        </w:rPr>
        <w:t>引</w:t>
      </w:r>
    </w:p>
    <w:p w14:paraId="7BE4B2B2">
      <w:pPr>
        <w:spacing w:line="360" w:lineRule="auto"/>
        <w:jc w:val="center"/>
        <w:rPr>
          <w:color w:val="auto"/>
          <w:kern w:val="0"/>
          <w:sz w:val="24"/>
          <w:szCs w:val="24"/>
          <w:highlight w:val="none"/>
        </w:rPr>
      </w:pPr>
    </w:p>
    <w:p w14:paraId="67F24C72">
      <w:pPr>
        <w:spacing w:line="360" w:lineRule="auto"/>
        <w:jc w:val="left"/>
        <w:rPr>
          <w:color w:val="auto"/>
          <w:kern w:val="0"/>
          <w:sz w:val="24"/>
          <w:szCs w:val="24"/>
          <w:highlight w:val="none"/>
        </w:rPr>
      </w:pPr>
      <w:r>
        <w:rPr>
          <w:color w:val="auto"/>
          <w:kern w:val="0"/>
          <w:sz w:val="29"/>
          <w:szCs w:val="29"/>
          <w:highlight w:val="none"/>
        </w:rPr>
        <w:t>一、</w:t>
      </w:r>
      <w:r>
        <w:rPr>
          <w:rFonts w:hint="eastAsia"/>
          <w:color w:val="auto"/>
          <w:kern w:val="0"/>
          <w:sz w:val="29"/>
          <w:szCs w:val="29"/>
          <w:highlight w:val="none"/>
          <w:lang w:eastAsia="zh-CN"/>
        </w:rPr>
        <w:t>申请</w:t>
      </w:r>
      <w:r>
        <w:rPr>
          <w:color w:val="auto"/>
          <w:kern w:val="0"/>
          <w:sz w:val="29"/>
          <w:szCs w:val="29"/>
          <w:highlight w:val="none"/>
        </w:rPr>
        <w:t>函</w:t>
      </w:r>
    </w:p>
    <w:p w14:paraId="23CD01F5">
      <w:pPr>
        <w:spacing w:line="360" w:lineRule="auto"/>
        <w:jc w:val="left"/>
        <w:rPr>
          <w:rFonts w:eastAsia="宋体"/>
          <w:color w:val="auto"/>
          <w:kern w:val="0"/>
          <w:sz w:val="29"/>
          <w:szCs w:val="29"/>
          <w:highlight w:val="none"/>
        </w:rPr>
      </w:pPr>
      <w:r>
        <w:rPr>
          <w:rFonts w:eastAsia="宋体"/>
          <w:color w:val="auto"/>
          <w:kern w:val="0"/>
          <w:sz w:val="29"/>
          <w:szCs w:val="29"/>
          <w:highlight w:val="none"/>
        </w:rPr>
        <w:t>二、</w:t>
      </w:r>
      <w:r>
        <w:rPr>
          <w:rFonts w:hint="eastAsia" w:eastAsia="宋体"/>
          <w:color w:val="auto"/>
          <w:kern w:val="0"/>
          <w:sz w:val="29"/>
          <w:szCs w:val="29"/>
          <w:highlight w:val="none"/>
          <w:lang w:eastAsia="zh-CN"/>
        </w:rPr>
        <w:t>承诺函</w:t>
      </w:r>
    </w:p>
    <w:p w14:paraId="23CACA21">
      <w:pPr>
        <w:spacing w:line="360" w:lineRule="auto"/>
        <w:jc w:val="left"/>
        <w:rPr>
          <w:rFonts w:eastAsia="宋体"/>
          <w:color w:val="auto"/>
          <w:kern w:val="0"/>
          <w:sz w:val="29"/>
          <w:szCs w:val="29"/>
          <w:highlight w:val="none"/>
        </w:rPr>
      </w:pPr>
      <w:r>
        <w:rPr>
          <w:rFonts w:hint="eastAsia" w:eastAsia="宋体"/>
          <w:color w:val="auto"/>
          <w:kern w:val="0"/>
          <w:sz w:val="29"/>
          <w:szCs w:val="29"/>
          <w:highlight w:val="none"/>
          <w:lang w:eastAsia="zh-CN"/>
        </w:rPr>
        <w:t>三</w:t>
      </w:r>
      <w:r>
        <w:rPr>
          <w:rFonts w:eastAsia="宋体"/>
          <w:color w:val="auto"/>
          <w:kern w:val="0"/>
          <w:sz w:val="29"/>
          <w:szCs w:val="29"/>
          <w:highlight w:val="none"/>
        </w:rPr>
        <w:t>、</w:t>
      </w:r>
      <w:r>
        <w:rPr>
          <w:rFonts w:hint="eastAsia"/>
          <w:color w:val="auto"/>
          <w:kern w:val="0"/>
          <w:sz w:val="29"/>
          <w:szCs w:val="29"/>
          <w:highlight w:val="none"/>
          <w:lang w:eastAsia="zh-CN"/>
        </w:rPr>
        <w:t>服务商</w:t>
      </w:r>
      <w:r>
        <w:rPr>
          <w:rFonts w:eastAsia="宋体"/>
          <w:color w:val="auto"/>
          <w:kern w:val="0"/>
          <w:sz w:val="29"/>
          <w:szCs w:val="29"/>
          <w:highlight w:val="none"/>
        </w:rPr>
        <w:t>的资格证明文件</w:t>
      </w:r>
    </w:p>
    <w:p w14:paraId="39A25D2D">
      <w:pPr>
        <w:spacing w:line="360" w:lineRule="auto"/>
        <w:jc w:val="left"/>
        <w:rPr>
          <w:rFonts w:hint="eastAsia" w:eastAsia="宋体"/>
          <w:color w:val="auto"/>
          <w:kern w:val="0"/>
          <w:sz w:val="29"/>
          <w:szCs w:val="29"/>
          <w:highlight w:val="none"/>
          <w:lang w:eastAsia="zh-CN"/>
        </w:rPr>
      </w:pPr>
      <w:r>
        <w:rPr>
          <w:rFonts w:hint="eastAsia" w:eastAsia="宋体"/>
          <w:color w:val="auto"/>
          <w:kern w:val="0"/>
          <w:sz w:val="29"/>
          <w:szCs w:val="29"/>
          <w:highlight w:val="none"/>
          <w:lang w:eastAsia="zh-CN"/>
        </w:rPr>
        <w:t>四、偏离表</w:t>
      </w:r>
    </w:p>
    <w:p w14:paraId="2628009E">
      <w:pPr>
        <w:spacing w:line="360" w:lineRule="auto"/>
        <w:jc w:val="left"/>
        <w:rPr>
          <w:rFonts w:eastAsia="宋体"/>
          <w:color w:val="auto"/>
          <w:kern w:val="0"/>
          <w:sz w:val="29"/>
          <w:szCs w:val="29"/>
          <w:highlight w:val="none"/>
        </w:rPr>
      </w:pPr>
      <w:r>
        <w:rPr>
          <w:rFonts w:hint="eastAsia" w:eastAsia="宋体"/>
          <w:color w:val="auto"/>
          <w:kern w:val="0"/>
          <w:sz w:val="29"/>
          <w:szCs w:val="29"/>
          <w:highlight w:val="none"/>
          <w:lang w:eastAsia="zh-CN"/>
        </w:rPr>
        <w:t>五、</w:t>
      </w:r>
      <w:r>
        <w:rPr>
          <w:rFonts w:hint="eastAsia"/>
          <w:color w:val="auto"/>
          <w:kern w:val="0"/>
          <w:sz w:val="29"/>
          <w:szCs w:val="29"/>
          <w:highlight w:val="none"/>
          <w:lang w:eastAsia="zh-CN"/>
        </w:rPr>
        <w:t>服务商</w:t>
      </w:r>
      <w:r>
        <w:rPr>
          <w:rFonts w:hint="eastAsia" w:eastAsia="宋体"/>
          <w:color w:val="auto"/>
          <w:kern w:val="0"/>
          <w:sz w:val="29"/>
          <w:szCs w:val="29"/>
          <w:highlight w:val="none"/>
          <w:lang w:eastAsia="zh-CN"/>
        </w:rPr>
        <w:t>提交的其它资料</w:t>
      </w:r>
    </w:p>
    <w:p w14:paraId="517825CA">
      <w:pPr>
        <w:spacing w:line="360" w:lineRule="auto"/>
        <w:jc w:val="left"/>
        <w:rPr>
          <w:rFonts w:eastAsia="宋体"/>
          <w:color w:val="auto"/>
          <w:kern w:val="0"/>
          <w:sz w:val="29"/>
          <w:szCs w:val="29"/>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83F7A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b/>
          <w:bCs/>
          <w:color w:val="auto"/>
          <w:kern w:val="0"/>
          <w:sz w:val="24"/>
          <w:szCs w:val="24"/>
          <w:highlight w:val="none"/>
        </w:rPr>
      </w:pPr>
      <w:bookmarkStart w:id="70" w:name="_Toc29184"/>
      <w:bookmarkStart w:id="71" w:name="_Toc10229"/>
      <w:bookmarkStart w:id="72" w:name="_Toc20713"/>
      <w:bookmarkStart w:id="73" w:name="_Toc2226"/>
      <w:bookmarkStart w:id="74" w:name="_Toc9534"/>
      <w:r>
        <w:rPr>
          <w:b/>
          <w:bCs/>
          <w:color w:val="auto"/>
          <w:kern w:val="0"/>
          <w:sz w:val="24"/>
          <w:szCs w:val="24"/>
          <w:highlight w:val="none"/>
        </w:rPr>
        <w:t>一、</w:t>
      </w:r>
      <w:r>
        <w:rPr>
          <w:rFonts w:hint="eastAsia"/>
          <w:b/>
          <w:bCs/>
          <w:color w:val="auto"/>
          <w:kern w:val="0"/>
          <w:sz w:val="24"/>
          <w:szCs w:val="24"/>
          <w:highlight w:val="none"/>
          <w:lang w:eastAsia="zh-CN"/>
        </w:rPr>
        <w:t>申请</w:t>
      </w:r>
      <w:r>
        <w:rPr>
          <w:b/>
          <w:bCs/>
          <w:color w:val="auto"/>
          <w:kern w:val="0"/>
          <w:sz w:val="24"/>
          <w:szCs w:val="24"/>
          <w:highlight w:val="none"/>
        </w:rPr>
        <w:t>函</w:t>
      </w:r>
      <w:bookmarkEnd w:id="70"/>
      <w:bookmarkEnd w:id="71"/>
      <w:bookmarkEnd w:id="72"/>
      <w:bookmarkEnd w:id="73"/>
      <w:bookmarkEnd w:id="74"/>
    </w:p>
    <w:p w14:paraId="562FEAE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r>
        <w:rPr>
          <w:rFonts w:hint="eastAsia"/>
          <w:color w:val="auto"/>
          <w:kern w:val="0"/>
          <w:sz w:val="24"/>
          <w:szCs w:val="24"/>
          <w:highlight w:val="none"/>
          <w:u w:val="single"/>
          <w:lang w:val="en-US" w:eastAsia="zh-CN"/>
        </w:rPr>
        <w:t xml:space="preserve">   </w:t>
      </w:r>
      <w:r>
        <w:rPr>
          <w:color w:val="auto"/>
          <w:kern w:val="0"/>
          <w:sz w:val="24"/>
          <w:szCs w:val="24"/>
          <w:highlight w:val="none"/>
          <w:u w:val="single"/>
        </w:rPr>
        <w:t>            </w:t>
      </w:r>
    </w:p>
    <w:p w14:paraId="609F2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kern w:val="0"/>
          <w:sz w:val="24"/>
          <w:szCs w:val="24"/>
          <w:highlight w:val="none"/>
        </w:rPr>
      </w:pPr>
      <w:r>
        <w:rPr>
          <w:rFonts w:hint="eastAsia" w:ascii="宋体" w:hAnsi="宋体" w:cs="宋体"/>
          <w:color w:val="auto"/>
          <w:sz w:val="24"/>
          <w:szCs w:val="24"/>
          <w:highlight w:val="none"/>
        </w:rPr>
        <w:t xml:space="preserve">根据贵方为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eastAsia="zh-CN"/>
        </w:rPr>
        <w:t>征集公告</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，本签字代表（全名、职务）正式授权并代表</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名称、地址）提交下述文件正本一份、副本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w:t>
      </w:r>
      <w:bookmarkStart w:id="75" w:name="_Toc25923"/>
      <w:bookmarkStart w:id="76" w:name="_Toc10303"/>
      <w:bookmarkStart w:id="77" w:name="_Toc25291"/>
      <w:bookmarkStart w:id="78" w:name="_Toc24579"/>
      <w:bookmarkStart w:id="79" w:name="_Toc13859"/>
      <w:bookmarkStart w:id="80" w:name="_Toc512434026"/>
      <w:bookmarkStart w:id="81" w:name="_Toc481501611"/>
      <w:bookmarkStart w:id="82" w:name="_Toc32735"/>
      <w:bookmarkStart w:id="83" w:name="_Toc485391372"/>
      <w:bookmarkStart w:id="84" w:name="_Toc16100"/>
      <w:bookmarkStart w:id="85" w:name="_Toc424"/>
      <w:bookmarkStart w:id="86" w:name="_Toc23332"/>
      <w:bookmarkStart w:id="87" w:name="_Toc514769464"/>
      <w:r>
        <w:rPr>
          <w:color w:val="auto"/>
          <w:kern w:val="0"/>
          <w:sz w:val="24"/>
          <w:szCs w:val="24"/>
          <w:highlight w:val="none"/>
        </w:rPr>
        <w:t>根据本函，本</w:t>
      </w:r>
      <w:r>
        <w:rPr>
          <w:rFonts w:hint="eastAsia"/>
          <w:color w:val="auto"/>
          <w:kern w:val="0"/>
          <w:sz w:val="24"/>
          <w:szCs w:val="24"/>
          <w:highlight w:val="none"/>
          <w:lang w:eastAsia="zh-CN"/>
        </w:rPr>
        <w:t>服务商</w:t>
      </w:r>
      <w:r>
        <w:rPr>
          <w:color w:val="auto"/>
          <w:kern w:val="0"/>
          <w:sz w:val="24"/>
          <w:szCs w:val="24"/>
          <w:highlight w:val="none"/>
        </w:rPr>
        <w:t>代表宣布我方保证遵守</w:t>
      </w:r>
      <w:r>
        <w:rPr>
          <w:rFonts w:hint="eastAsia"/>
          <w:color w:val="auto"/>
          <w:kern w:val="0"/>
          <w:sz w:val="24"/>
          <w:szCs w:val="24"/>
          <w:highlight w:val="none"/>
          <w:lang w:eastAsia="zh-CN"/>
        </w:rPr>
        <w:t>征集文件</w:t>
      </w:r>
      <w:r>
        <w:rPr>
          <w:color w:val="auto"/>
          <w:kern w:val="0"/>
          <w:sz w:val="24"/>
          <w:szCs w:val="24"/>
          <w:highlight w:val="none"/>
        </w:rPr>
        <w:t>的全部规定，同时：</w:t>
      </w:r>
    </w:p>
    <w:bookmarkEnd w:id="75"/>
    <w:bookmarkEnd w:id="76"/>
    <w:bookmarkEnd w:id="77"/>
    <w:bookmarkEnd w:id="78"/>
    <w:bookmarkEnd w:id="79"/>
    <w:bookmarkEnd w:id="80"/>
    <w:bookmarkEnd w:id="81"/>
    <w:bookmarkEnd w:id="82"/>
    <w:bookmarkEnd w:id="83"/>
    <w:bookmarkEnd w:id="84"/>
    <w:bookmarkEnd w:id="85"/>
    <w:bookmarkEnd w:id="86"/>
    <w:bookmarkEnd w:id="87"/>
    <w:p w14:paraId="68171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已详细审查全部</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，包括修改文件（如有的话）和有关附件，将自行承担因对全部</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理解不正确或误解而产生的相应后果。</w:t>
      </w:r>
    </w:p>
    <w:p w14:paraId="06521D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保证遵守</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的全部规定，</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所提交的材料中所含的信息均为真实、准确、完整，且不具有任何误导性。</w:t>
      </w:r>
    </w:p>
    <w:p w14:paraId="5BDD8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将按</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的规定履行合同责任和义务。</w:t>
      </w:r>
    </w:p>
    <w:p w14:paraId="79432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olor w:val="auto"/>
          <w:sz w:val="24"/>
          <w:highlight w:val="none"/>
          <w:lang w:eastAsia="zh-CN"/>
        </w:rPr>
        <w:t>申请文件</w:t>
      </w:r>
      <w:r>
        <w:rPr>
          <w:color w:val="auto"/>
          <w:sz w:val="24"/>
          <w:highlight w:val="none"/>
        </w:rPr>
        <w:t>有效期</w:t>
      </w:r>
      <w:r>
        <w:rPr>
          <w:rFonts w:hint="eastAsia"/>
          <w:color w:val="auto"/>
          <w:sz w:val="24"/>
          <w:highlight w:val="none"/>
          <w:lang w:eastAsia="zh-CN"/>
        </w:rPr>
        <w:t>：</w:t>
      </w:r>
      <w:r>
        <w:rPr>
          <w:color w:val="auto"/>
          <w:sz w:val="24"/>
          <w:highlight w:val="none"/>
        </w:rPr>
        <w:t>自</w:t>
      </w:r>
      <w:r>
        <w:rPr>
          <w:rFonts w:hint="eastAsia"/>
          <w:color w:val="auto"/>
          <w:sz w:val="24"/>
          <w:highlight w:val="none"/>
          <w:lang w:eastAsia="zh-CN"/>
        </w:rPr>
        <w:t>申请文件</w:t>
      </w:r>
      <w:r>
        <w:rPr>
          <w:color w:val="auto"/>
          <w:sz w:val="24"/>
          <w:highlight w:val="none"/>
        </w:rPr>
        <w:t>提交截止之日起90日历天</w:t>
      </w:r>
      <w:r>
        <w:rPr>
          <w:rFonts w:hint="eastAsia" w:ascii="宋体" w:hAnsi="宋体" w:cs="宋体"/>
          <w:color w:val="auto"/>
          <w:sz w:val="24"/>
          <w:szCs w:val="24"/>
          <w:highlight w:val="none"/>
        </w:rPr>
        <w:t>。</w:t>
      </w:r>
    </w:p>
    <w:p w14:paraId="517C1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同意提供按照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可能要求的与其投标有关的一切数据或资料，完全理解贵方不一定要接受收到的任何投标。</w:t>
      </w:r>
    </w:p>
    <w:p w14:paraId="3A4B0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.与本</w:t>
      </w:r>
      <w:r>
        <w:rPr>
          <w:rFonts w:hint="eastAsia" w:ascii="宋体" w:hAnsi="宋体" w:cs="宋体"/>
          <w:color w:val="auto"/>
          <w:sz w:val="24"/>
          <w:szCs w:val="24"/>
          <w:highlight w:val="none"/>
          <w:lang w:eastAsia="zh-CN"/>
        </w:rPr>
        <w:t>申请</w:t>
      </w:r>
      <w:r>
        <w:rPr>
          <w:rFonts w:hint="eastAsia" w:ascii="宋体" w:hAnsi="宋体" w:cs="宋体"/>
          <w:color w:val="auto"/>
          <w:sz w:val="24"/>
          <w:szCs w:val="24"/>
          <w:highlight w:val="none"/>
        </w:rPr>
        <w:t>有关的一切正式往来通讯请寄：</w:t>
      </w:r>
    </w:p>
    <w:p w14:paraId="09D9929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 </w:t>
      </w:r>
      <w:r>
        <w:rPr>
          <w:rFonts w:hint="eastAsia" w:ascii="宋体" w:hAnsi="宋体" w:cs="宋体"/>
          <w:color w:val="auto"/>
          <w:sz w:val="24"/>
          <w:szCs w:val="24"/>
          <w:highlight w:val="none"/>
          <w:u w:val="single"/>
        </w:rPr>
        <w:t xml:space="preserve">                 </w:t>
      </w:r>
    </w:p>
    <w:p w14:paraId="0F9CA6B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 </w:t>
      </w:r>
      <w:r>
        <w:rPr>
          <w:rFonts w:hint="eastAsia" w:ascii="宋体" w:hAnsi="宋体" w:cs="宋体"/>
          <w:color w:val="auto"/>
          <w:sz w:val="24"/>
          <w:szCs w:val="24"/>
          <w:highlight w:val="none"/>
          <w:u w:val="single"/>
        </w:rPr>
        <w:t xml:space="preserve">                 </w:t>
      </w:r>
    </w:p>
    <w:p w14:paraId="685C8546">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 xml:space="preserve">代表签字： </w:t>
      </w:r>
      <w:r>
        <w:rPr>
          <w:rFonts w:hint="eastAsia" w:ascii="宋体" w:hAnsi="宋体" w:cs="宋体"/>
          <w:color w:val="auto"/>
          <w:sz w:val="24"/>
          <w:szCs w:val="24"/>
          <w:highlight w:val="none"/>
          <w:u w:val="single"/>
        </w:rPr>
        <w:t xml:space="preserve">                </w:t>
      </w:r>
    </w:p>
    <w:p w14:paraId="73E00D7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（全称并加盖公章）：</w:t>
      </w:r>
      <w:r>
        <w:rPr>
          <w:rFonts w:hint="eastAsia" w:ascii="宋体" w:hAnsi="宋体" w:cs="宋体"/>
          <w:color w:val="auto"/>
          <w:sz w:val="24"/>
          <w:szCs w:val="24"/>
          <w:highlight w:val="none"/>
          <w:u w:val="single"/>
        </w:rPr>
        <w:t xml:space="preserve">                       </w:t>
      </w:r>
    </w:p>
    <w:p w14:paraId="59E9CF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rPr>
      </w:pPr>
      <w:bookmarkStart w:id="88" w:name="_Toc12039"/>
      <w:bookmarkStart w:id="89" w:name="_Toc15946"/>
      <w:bookmarkStart w:id="90" w:name="_Toc32494"/>
      <w:bookmarkStart w:id="91" w:name="_Toc485391373"/>
      <w:bookmarkStart w:id="92" w:name="_Toc8682"/>
      <w:bookmarkStart w:id="93" w:name="_Toc1994"/>
      <w:bookmarkStart w:id="94" w:name="_Toc512434027"/>
      <w:bookmarkStart w:id="95" w:name="_Toc14884"/>
      <w:bookmarkStart w:id="96" w:name="_Toc481501612"/>
      <w:bookmarkStart w:id="97" w:name="_Toc514769465"/>
      <w:bookmarkStart w:id="98" w:name="_Toc14307"/>
      <w:bookmarkStart w:id="99" w:name="_Toc2918"/>
      <w:bookmarkStart w:id="100" w:name="_Toc10606"/>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88"/>
      <w:bookmarkEnd w:id="89"/>
      <w:bookmarkEnd w:id="90"/>
      <w:bookmarkEnd w:id="91"/>
      <w:bookmarkEnd w:id="92"/>
      <w:bookmarkEnd w:id="93"/>
      <w:bookmarkEnd w:id="94"/>
      <w:bookmarkEnd w:id="95"/>
      <w:bookmarkEnd w:id="96"/>
      <w:bookmarkEnd w:id="97"/>
      <w:bookmarkEnd w:id="98"/>
      <w:bookmarkEnd w:id="99"/>
      <w:bookmarkEnd w:id="100"/>
    </w:p>
    <w:p w14:paraId="5D760AF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color w:val="0000FF"/>
          <w:kern w:val="0"/>
          <w:sz w:val="24"/>
          <w:szCs w:val="24"/>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01" w:name="_Toc28707"/>
      <w:bookmarkStart w:id="102" w:name="_Toc16977"/>
    </w:p>
    <w:p w14:paraId="76E622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b/>
          <w:bCs/>
          <w:color w:val="auto"/>
          <w:kern w:val="0"/>
          <w:sz w:val="24"/>
          <w:szCs w:val="24"/>
          <w:highlight w:val="none"/>
        </w:rPr>
      </w:pPr>
      <w:bookmarkStart w:id="103" w:name="_Toc2710"/>
      <w:bookmarkStart w:id="104" w:name="_Toc11607"/>
      <w:r>
        <w:rPr>
          <w:rFonts w:hint="eastAsia"/>
          <w:b/>
          <w:bCs/>
          <w:color w:val="auto"/>
          <w:kern w:val="0"/>
          <w:sz w:val="24"/>
          <w:szCs w:val="24"/>
          <w:highlight w:val="none"/>
          <w:lang w:eastAsia="zh-CN"/>
        </w:rPr>
        <w:t>二</w:t>
      </w:r>
      <w:r>
        <w:rPr>
          <w:b/>
          <w:bCs/>
          <w:color w:val="auto"/>
          <w:kern w:val="0"/>
          <w:sz w:val="24"/>
          <w:szCs w:val="24"/>
          <w:highlight w:val="none"/>
        </w:rPr>
        <w:t>、</w:t>
      </w:r>
      <w:r>
        <w:rPr>
          <w:rFonts w:hint="eastAsia"/>
          <w:b/>
          <w:bCs/>
          <w:color w:val="auto"/>
          <w:kern w:val="0"/>
          <w:sz w:val="24"/>
          <w:szCs w:val="24"/>
          <w:highlight w:val="none"/>
          <w:lang w:eastAsia="zh-CN"/>
        </w:rPr>
        <w:t>承诺</w:t>
      </w:r>
      <w:r>
        <w:rPr>
          <w:b/>
          <w:bCs/>
          <w:color w:val="auto"/>
          <w:kern w:val="0"/>
          <w:sz w:val="24"/>
          <w:szCs w:val="24"/>
          <w:highlight w:val="none"/>
        </w:rPr>
        <w:t>函</w:t>
      </w:r>
      <w:bookmarkEnd w:id="101"/>
      <w:bookmarkEnd w:id="102"/>
      <w:bookmarkEnd w:id="103"/>
      <w:bookmarkEnd w:id="104"/>
    </w:p>
    <w:p w14:paraId="712ED3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r>
        <w:rPr>
          <w:rFonts w:hint="eastAsia"/>
          <w:color w:val="auto"/>
          <w:kern w:val="0"/>
          <w:sz w:val="24"/>
          <w:szCs w:val="24"/>
          <w:highlight w:val="none"/>
          <w:u w:val="single"/>
          <w:lang w:val="en-US" w:eastAsia="zh-CN"/>
        </w:rPr>
        <w:t xml:space="preserve">   </w:t>
      </w:r>
      <w:r>
        <w:rPr>
          <w:color w:val="auto"/>
          <w:kern w:val="0"/>
          <w:sz w:val="24"/>
          <w:szCs w:val="24"/>
          <w:highlight w:val="none"/>
          <w:u w:val="single"/>
        </w:rPr>
        <w:t>            </w:t>
      </w:r>
    </w:p>
    <w:p w14:paraId="1AF1C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kern w:val="0"/>
          <w:sz w:val="24"/>
          <w:szCs w:val="24"/>
          <w:highlight w:val="none"/>
        </w:rPr>
      </w:pPr>
      <w:r>
        <w:rPr>
          <w:rFonts w:hint="eastAsia" w:ascii="宋体" w:hAnsi="宋体" w:cs="宋体"/>
          <w:color w:val="auto"/>
          <w:sz w:val="24"/>
          <w:szCs w:val="24"/>
          <w:highlight w:val="none"/>
        </w:rPr>
        <w:t xml:space="preserve">根据贵方为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eastAsia="zh-CN"/>
        </w:rPr>
        <w:t>征集公告</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我司承诺如下</w:t>
      </w:r>
      <w:r>
        <w:rPr>
          <w:color w:val="auto"/>
          <w:kern w:val="0"/>
          <w:sz w:val="24"/>
          <w:szCs w:val="24"/>
          <w:highlight w:val="none"/>
        </w:rPr>
        <w:t>：</w:t>
      </w:r>
    </w:p>
    <w:p w14:paraId="27B382B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我司充分了解</w:t>
      </w:r>
      <w:r>
        <w:rPr>
          <w:rFonts w:hint="eastAsia" w:ascii="宋体" w:hAnsi="宋体" w:eastAsia="宋体" w:cs="宋体"/>
          <w:color w:val="auto"/>
          <w:sz w:val="24"/>
          <w:highlight w:val="none"/>
        </w:rPr>
        <w:t>确定第二阶段成交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的方式为：</w:t>
      </w:r>
      <w:r>
        <w:rPr>
          <w:rFonts w:hint="eastAsia" w:ascii="宋体" w:hAnsi="宋体" w:eastAsia="宋体" w:cs="宋体"/>
          <w:color w:val="auto"/>
          <w:sz w:val="24"/>
          <w:highlight w:val="none"/>
          <w:lang w:eastAsia="zh-CN"/>
        </w:rPr>
        <w:t>二次竞价</w:t>
      </w:r>
    </w:p>
    <w:p w14:paraId="7B72151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我司承诺在第二阶段每次报价均不超过第一阶段设定的最高限制单价</w:t>
      </w:r>
      <w:r>
        <w:rPr>
          <w:rFonts w:hint="eastAsia" w:ascii="宋体" w:hAnsi="宋体" w:cs="宋体"/>
          <w:color w:val="auto"/>
          <w:sz w:val="24"/>
          <w:szCs w:val="24"/>
          <w:highlight w:val="none"/>
        </w:rPr>
        <w:t>。</w:t>
      </w:r>
    </w:p>
    <w:p w14:paraId="6F26F01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126601B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4E7CC7D2">
      <w:pPr>
        <w:pStyle w:val="2"/>
        <w:rPr>
          <w:rFonts w:hint="eastAsia" w:ascii="宋体" w:hAnsi="宋体" w:cs="宋体"/>
          <w:color w:val="auto"/>
          <w:sz w:val="24"/>
          <w:szCs w:val="24"/>
          <w:highlight w:val="none"/>
          <w:lang w:eastAsia="zh-CN"/>
        </w:rPr>
      </w:pPr>
    </w:p>
    <w:p w14:paraId="6BB22841">
      <w:pPr>
        <w:rPr>
          <w:rFonts w:hint="eastAsia"/>
          <w:color w:val="auto"/>
          <w:highlight w:val="none"/>
          <w:lang w:eastAsia="zh-CN"/>
        </w:rPr>
      </w:pPr>
    </w:p>
    <w:p w14:paraId="2C502D7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1F295E2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（全称并加盖公章）：</w:t>
      </w:r>
      <w:r>
        <w:rPr>
          <w:rFonts w:hint="eastAsia" w:ascii="宋体" w:hAnsi="宋体" w:cs="宋体"/>
          <w:color w:val="auto"/>
          <w:sz w:val="24"/>
          <w:szCs w:val="24"/>
          <w:highlight w:val="none"/>
          <w:u w:val="single"/>
        </w:rPr>
        <w:t xml:space="preserve">                       </w:t>
      </w:r>
    </w:p>
    <w:p w14:paraId="116A0A8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 xml:space="preserve">代表签字： </w:t>
      </w:r>
      <w:r>
        <w:rPr>
          <w:rFonts w:hint="eastAsia" w:ascii="宋体" w:hAnsi="宋体" w:cs="宋体"/>
          <w:color w:val="auto"/>
          <w:sz w:val="24"/>
          <w:szCs w:val="24"/>
          <w:highlight w:val="none"/>
          <w:u w:val="single"/>
        </w:rPr>
        <w:t xml:space="preserve">                </w:t>
      </w:r>
    </w:p>
    <w:p w14:paraId="453C1C8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color w:val="auto"/>
          <w:kern w:val="0"/>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BFB910">
      <w:pPr>
        <w:spacing w:line="440" w:lineRule="exact"/>
        <w:jc w:val="center"/>
        <w:outlineLvl w:val="1"/>
        <w:rPr>
          <w:b/>
          <w:bCs/>
          <w:color w:val="auto"/>
          <w:kern w:val="0"/>
          <w:sz w:val="24"/>
          <w:szCs w:val="24"/>
          <w:highlight w:val="none"/>
        </w:rPr>
      </w:pPr>
      <w:r>
        <w:rPr>
          <w:color w:val="auto"/>
          <w:kern w:val="0"/>
          <w:sz w:val="24"/>
          <w:szCs w:val="24"/>
          <w:highlight w:val="none"/>
        </w:rPr>
        <w:br w:type="page"/>
      </w:r>
      <w:bookmarkStart w:id="105" w:name="_Toc29569"/>
      <w:bookmarkStart w:id="106" w:name="_Toc16565"/>
      <w:bookmarkStart w:id="107" w:name="_Toc5248"/>
      <w:bookmarkStart w:id="108" w:name="_Toc12832"/>
      <w:bookmarkStart w:id="109" w:name="_Toc29400"/>
      <w:r>
        <w:rPr>
          <w:rFonts w:hint="eastAsia"/>
          <w:b/>
          <w:bCs/>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eastAsia="zh-CN"/>
        </w:rPr>
        <w:t>服务商</w:t>
      </w:r>
      <w:r>
        <w:rPr>
          <w:b/>
          <w:bCs/>
          <w:color w:val="auto"/>
          <w:kern w:val="0"/>
          <w:sz w:val="24"/>
          <w:szCs w:val="24"/>
          <w:highlight w:val="none"/>
        </w:rPr>
        <w:t>的资格及资信证明文件</w:t>
      </w:r>
      <w:bookmarkEnd w:id="105"/>
      <w:bookmarkEnd w:id="106"/>
      <w:bookmarkEnd w:id="107"/>
      <w:bookmarkEnd w:id="108"/>
      <w:bookmarkEnd w:id="109"/>
    </w:p>
    <w:p w14:paraId="2C1CC85B">
      <w:pPr>
        <w:spacing w:line="440" w:lineRule="exact"/>
        <w:jc w:val="center"/>
        <w:rPr>
          <w:color w:val="auto"/>
          <w:kern w:val="0"/>
          <w:sz w:val="24"/>
          <w:szCs w:val="24"/>
          <w:highlight w:val="none"/>
        </w:rPr>
      </w:pPr>
    </w:p>
    <w:p w14:paraId="7393055E">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-1单位负责人授权书（若有）</w:t>
      </w:r>
    </w:p>
    <w:p w14:paraId="0AB685AD">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102BA16F">
      <w:pPr>
        <w:spacing w:line="440" w:lineRule="exact"/>
        <w:ind w:firstLine="480" w:firstLineChars="200"/>
        <w:rPr>
          <w:color w:val="auto"/>
          <w:kern w:val="0"/>
          <w:sz w:val="24"/>
          <w:szCs w:val="24"/>
          <w:highlight w:val="none"/>
        </w:rPr>
      </w:pPr>
      <w:r>
        <w:rPr>
          <w:color w:val="auto"/>
          <w:kern w:val="0"/>
          <w:sz w:val="24"/>
          <w:szCs w:val="24"/>
          <w:highlight w:val="none"/>
        </w:rPr>
        <w:t>我方的单位负责人</w:t>
      </w:r>
      <w:r>
        <w:rPr>
          <w:color w:val="auto"/>
          <w:kern w:val="0"/>
          <w:sz w:val="24"/>
          <w:szCs w:val="24"/>
          <w:highlight w:val="none"/>
          <w:u w:val="single"/>
        </w:rPr>
        <w:t>（填写“单位负责人全名”）</w:t>
      </w:r>
      <w:r>
        <w:rPr>
          <w:color w:val="auto"/>
          <w:kern w:val="0"/>
          <w:sz w:val="24"/>
          <w:szCs w:val="24"/>
          <w:highlight w:val="none"/>
        </w:rPr>
        <w:t>授权</w:t>
      </w:r>
      <w:r>
        <w:rPr>
          <w:color w:val="auto"/>
          <w:kern w:val="0"/>
          <w:sz w:val="24"/>
          <w:szCs w:val="24"/>
          <w:highlight w:val="none"/>
          <w:u w:val="single"/>
        </w:rPr>
        <w:t>（填写“</w:t>
      </w:r>
      <w:r>
        <w:rPr>
          <w:rFonts w:hint="eastAsia"/>
          <w:color w:val="auto"/>
          <w:kern w:val="0"/>
          <w:sz w:val="24"/>
          <w:szCs w:val="24"/>
          <w:highlight w:val="none"/>
          <w:u w:val="single"/>
          <w:lang w:eastAsia="zh-CN"/>
        </w:rPr>
        <w:t>服务商</w:t>
      </w:r>
      <w:r>
        <w:rPr>
          <w:color w:val="auto"/>
          <w:kern w:val="0"/>
          <w:sz w:val="24"/>
          <w:szCs w:val="24"/>
          <w:highlight w:val="none"/>
          <w:u w:val="single"/>
        </w:rPr>
        <w:t>代表全名”）</w:t>
      </w:r>
      <w:r>
        <w:rPr>
          <w:color w:val="auto"/>
          <w:kern w:val="0"/>
          <w:sz w:val="24"/>
          <w:szCs w:val="24"/>
          <w:highlight w:val="none"/>
        </w:rPr>
        <w:t>为</w:t>
      </w:r>
      <w:r>
        <w:rPr>
          <w:rFonts w:hint="eastAsia"/>
          <w:color w:val="auto"/>
          <w:kern w:val="0"/>
          <w:sz w:val="24"/>
          <w:szCs w:val="24"/>
          <w:highlight w:val="none"/>
          <w:lang w:eastAsia="zh-CN"/>
        </w:rPr>
        <w:t>服务商</w:t>
      </w:r>
      <w:r>
        <w:rPr>
          <w:color w:val="auto"/>
          <w:kern w:val="0"/>
          <w:sz w:val="24"/>
          <w:szCs w:val="24"/>
          <w:highlight w:val="none"/>
        </w:rPr>
        <w:t>代表，代表我方参加</w:t>
      </w:r>
      <w:r>
        <w:rPr>
          <w:color w:val="auto"/>
          <w:kern w:val="0"/>
          <w:sz w:val="24"/>
          <w:szCs w:val="24"/>
          <w:highlight w:val="none"/>
          <w:u w:val="single"/>
        </w:rPr>
        <w:t>（填写“项目名称”）</w:t>
      </w:r>
      <w:r>
        <w:rPr>
          <w:color w:val="auto"/>
          <w:kern w:val="0"/>
          <w:sz w:val="24"/>
          <w:szCs w:val="24"/>
          <w:highlight w:val="none"/>
        </w:rPr>
        <w:t>项目（项目编号：</w:t>
      </w:r>
      <w:r>
        <w:rPr>
          <w:color w:val="auto"/>
          <w:kern w:val="0"/>
          <w:sz w:val="24"/>
          <w:szCs w:val="24"/>
          <w:highlight w:val="none"/>
          <w:u w:val="single"/>
        </w:rPr>
        <w:t>         </w:t>
      </w:r>
      <w:r>
        <w:rPr>
          <w:color w:val="auto"/>
          <w:kern w:val="0"/>
          <w:sz w:val="24"/>
          <w:szCs w:val="24"/>
          <w:highlight w:val="none"/>
        </w:rPr>
        <w:t>）的，全权代表我方处理投标过程的一切事宜，包括但不限于：参加</w:t>
      </w:r>
      <w:r>
        <w:rPr>
          <w:rFonts w:hint="eastAsia"/>
          <w:color w:val="auto"/>
          <w:kern w:val="0"/>
          <w:sz w:val="24"/>
          <w:szCs w:val="24"/>
          <w:highlight w:val="none"/>
          <w:lang w:eastAsia="zh-CN"/>
        </w:rPr>
        <w:t>征集、</w:t>
      </w:r>
      <w:r>
        <w:rPr>
          <w:color w:val="auto"/>
          <w:kern w:val="0"/>
          <w:sz w:val="24"/>
          <w:szCs w:val="24"/>
          <w:highlight w:val="none"/>
        </w:rPr>
        <w:t>澄清、签约等。</w:t>
      </w:r>
      <w:r>
        <w:rPr>
          <w:rFonts w:hint="eastAsia"/>
          <w:color w:val="auto"/>
          <w:kern w:val="0"/>
          <w:sz w:val="24"/>
          <w:szCs w:val="24"/>
          <w:highlight w:val="none"/>
          <w:lang w:eastAsia="zh-CN"/>
        </w:rPr>
        <w:t>服务商</w:t>
      </w:r>
      <w:r>
        <w:rPr>
          <w:color w:val="auto"/>
          <w:kern w:val="0"/>
          <w:sz w:val="24"/>
          <w:szCs w:val="24"/>
          <w:highlight w:val="none"/>
        </w:rPr>
        <w:t>代表在</w:t>
      </w:r>
      <w:r>
        <w:rPr>
          <w:rFonts w:hint="eastAsia"/>
          <w:color w:val="auto"/>
          <w:kern w:val="0"/>
          <w:sz w:val="24"/>
          <w:szCs w:val="24"/>
          <w:highlight w:val="none"/>
          <w:lang w:eastAsia="zh-CN"/>
        </w:rPr>
        <w:t>申请</w:t>
      </w:r>
      <w:r>
        <w:rPr>
          <w:color w:val="auto"/>
          <w:kern w:val="0"/>
          <w:sz w:val="24"/>
          <w:szCs w:val="24"/>
          <w:highlight w:val="none"/>
        </w:rPr>
        <w:t>过程中所签署的一切文件和处理与之有关的一切事务，我方均予以认可并对此承担责任。</w:t>
      </w:r>
    </w:p>
    <w:p w14:paraId="7B1BFC66">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代表无转委权。特此授权。</w:t>
      </w:r>
    </w:p>
    <w:p w14:paraId="40FED955">
      <w:pPr>
        <w:spacing w:line="440" w:lineRule="exact"/>
        <w:rPr>
          <w:color w:val="auto"/>
          <w:kern w:val="0"/>
          <w:sz w:val="24"/>
          <w:szCs w:val="24"/>
          <w:highlight w:val="none"/>
        </w:rPr>
      </w:pPr>
      <w:r>
        <w:rPr>
          <w:color w:val="auto"/>
          <w:kern w:val="0"/>
          <w:sz w:val="24"/>
          <w:szCs w:val="24"/>
          <w:highlight w:val="none"/>
        </w:rPr>
        <w:t>（以下无正文）</w:t>
      </w:r>
    </w:p>
    <w:p w14:paraId="178EA6CC">
      <w:pPr>
        <w:spacing w:line="440" w:lineRule="exact"/>
        <w:jc w:val="left"/>
        <w:rPr>
          <w:color w:val="auto"/>
          <w:kern w:val="0"/>
          <w:sz w:val="24"/>
          <w:szCs w:val="24"/>
          <w:highlight w:val="none"/>
        </w:rPr>
      </w:pPr>
      <w:r>
        <w:rPr>
          <w:color w:val="auto"/>
          <w:kern w:val="0"/>
          <w:sz w:val="24"/>
          <w:szCs w:val="24"/>
          <w:highlight w:val="none"/>
        </w:rPr>
        <w:t>单位负责人：</w:t>
      </w:r>
      <w:r>
        <w:rPr>
          <w:color w:val="auto"/>
          <w:kern w:val="0"/>
          <w:sz w:val="24"/>
          <w:szCs w:val="24"/>
          <w:highlight w:val="none"/>
          <w:u w:val="single"/>
        </w:rPr>
        <w:t>    </w:t>
      </w:r>
      <w:r>
        <w:rPr>
          <w:color w:val="auto"/>
          <w:kern w:val="0"/>
          <w:sz w:val="24"/>
          <w:szCs w:val="24"/>
          <w:highlight w:val="none"/>
        </w:rPr>
        <w:t>身份证号：</w:t>
      </w:r>
      <w:r>
        <w:rPr>
          <w:color w:val="auto"/>
          <w:kern w:val="0"/>
          <w:sz w:val="24"/>
          <w:szCs w:val="24"/>
          <w:highlight w:val="none"/>
          <w:u w:val="single"/>
        </w:rPr>
        <w:t>      </w:t>
      </w:r>
      <w:r>
        <w:rPr>
          <w:color w:val="auto"/>
          <w:kern w:val="0"/>
          <w:sz w:val="24"/>
          <w:szCs w:val="24"/>
          <w:highlight w:val="none"/>
        </w:rPr>
        <w:t>手机：</w:t>
      </w:r>
      <w:r>
        <w:rPr>
          <w:color w:val="auto"/>
          <w:kern w:val="0"/>
          <w:sz w:val="24"/>
          <w:szCs w:val="24"/>
          <w:highlight w:val="none"/>
          <w:u w:val="single"/>
        </w:rPr>
        <w:t>      </w:t>
      </w:r>
    </w:p>
    <w:p w14:paraId="21718C8C">
      <w:pPr>
        <w:spacing w:line="440" w:lineRule="exact"/>
        <w:jc w:val="lef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w:t>
      </w:r>
      <w:r>
        <w:rPr>
          <w:color w:val="auto"/>
          <w:kern w:val="0"/>
          <w:sz w:val="24"/>
          <w:szCs w:val="24"/>
          <w:highlight w:val="none"/>
          <w:u w:val="single"/>
        </w:rPr>
        <w:t>    </w:t>
      </w:r>
      <w:r>
        <w:rPr>
          <w:color w:val="auto"/>
          <w:kern w:val="0"/>
          <w:sz w:val="24"/>
          <w:szCs w:val="24"/>
          <w:highlight w:val="none"/>
        </w:rPr>
        <w:t>身份证号：</w:t>
      </w:r>
      <w:r>
        <w:rPr>
          <w:color w:val="auto"/>
          <w:kern w:val="0"/>
          <w:sz w:val="24"/>
          <w:szCs w:val="24"/>
          <w:highlight w:val="none"/>
          <w:u w:val="single"/>
        </w:rPr>
        <w:t>      </w:t>
      </w:r>
      <w:r>
        <w:rPr>
          <w:color w:val="auto"/>
          <w:kern w:val="0"/>
          <w:sz w:val="24"/>
          <w:szCs w:val="24"/>
          <w:highlight w:val="none"/>
        </w:rPr>
        <w:t>手机：</w:t>
      </w:r>
      <w:r>
        <w:rPr>
          <w:color w:val="auto"/>
          <w:kern w:val="0"/>
          <w:sz w:val="24"/>
          <w:szCs w:val="24"/>
          <w:highlight w:val="none"/>
          <w:u w:val="single"/>
        </w:rPr>
        <w:t>        </w:t>
      </w:r>
    </w:p>
    <w:p w14:paraId="59A8230B">
      <w:pPr>
        <w:spacing w:line="440" w:lineRule="exact"/>
        <w:rPr>
          <w:color w:val="auto"/>
          <w:kern w:val="0"/>
          <w:sz w:val="24"/>
          <w:szCs w:val="24"/>
          <w:highlight w:val="none"/>
        </w:rPr>
      </w:pPr>
      <w:r>
        <w:rPr>
          <w:color w:val="auto"/>
          <w:kern w:val="0"/>
          <w:sz w:val="24"/>
          <w:szCs w:val="24"/>
          <w:highlight w:val="none"/>
        </w:rPr>
        <w:t> </w:t>
      </w:r>
    </w:p>
    <w:p w14:paraId="27ED82FF">
      <w:pPr>
        <w:spacing w:line="440" w:lineRule="exact"/>
        <w:rPr>
          <w:color w:val="auto"/>
          <w:kern w:val="0"/>
          <w:sz w:val="24"/>
          <w:szCs w:val="24"/>
          <w:highlight w:val="none"/>
        </w:rPr>
      </w:pPr>
      <w:r>
        <w:rPr>
          <w:color w:val="auto"/>
          <w:kern w:val="0"/>
          <w:sz w:val="24"/>
          <w:szCs w:val="24"/>
          <w:highlight w:val="none"/>
        </w:rPr>
        <w:t>授权方</w:t>
      </w:r>
    </w:p>
    <w:p w14:paraId="47405284">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18A3CA5F">
      <w:pPr>
        <w:spacing w:line="440" w:lineRule="exact"/>
        <w:rPr>
          <w:color w:val="auto"/>
          <w:kern w:val="0"/>
          <w:sz w:val="24"/>
          <w:szCs w:val="24"/>
          <w:highlight w:val="none"/>
        </w:rPr>
      </w:pPr>
      <w:r>
        <w:rPr>
          <w:color w:val="auto"/>
          <w:kern w:val="0"/>
          <w:sz w:val="24"/>
          <w:szCs w:val="24"/>
          <w:highlight w:val="none"/>
        </w:rPr>
        <w:t>单位负责人签字或盖章：</w:t>
      </w:r>
      <w:r>
        <w:rPr>
          <w:color w:val="auto"/>
          <w:kern w:val="0"/>
          <w:sz w:val="24"/>
          <w:szCs w:val="24"/>
          <w:highlight w:val="none"/>
          <w:u w:val="single"/>
        </w:rPr>
        <w:t>                   </w:t>
      </w:r>
    </w:p>
    <w:p w14:paraId="662C3BE9">
      <w:pPr>
        <w:spacing w:line="440" w:lineRule="exact"/>
        <w:rPr>
          <w:color w:val="auto"/>
          <w:kern w:val="0"/>
          <w:sz w:val="24"/>
          <w:szCs w:val="24"/>
          <w:highlight w:val="none"/>
        </w:rPr>
      </w:pPr>
      <w:r>
        <w:rPr>
          <w:color w:val="auto"/>
          <w:kern w:val="0"/>
          <w:sz w:val="24"/>
          <w:szCs w:val="24"/>
          <w:highlight w:val="none"/>
        </w:rPr>
        <w:t> </w:t>
      </w:r>
    </w:p>
    <w:p w14:paraId="0223C206">
      <w:pPr>
        <w:spacing w:line="440" w:lineRule="exact"/>
        <w:rPr>
          <w:color w:val="auto"/>
          <w:kern w:val="0"/>
          <w:sz w:val="24"/>
          <w:szCs w:val="24"/>
          <w:highlight w:val="none"/>
        </w:rPr>
      </w:pPr>
      <w:r>
        <w:rPr>
          <w:color w:val="auto"/>
          <w:kern w:val="0"/>
          <w:sz w:val="24"/>
          <w:szCs w:val="24"/>
          <w:highlight w:val="none"/>
        </w:rPr>
        <w:t>接受授权方</w:t>
      </w:r>
    </w:p>
    <w:p w14:paraId="47F43321">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0B9A8D7A">
      <w:pPr>
        <w:spacing w:line="440" w:lineRule="exact"/>
        <w:rPr>
          <w:color w:val="auto"/>
          <w:kern w:val="0"/>
          <w:sz w:val="24"/>
          <w:szCs w:val="24"/>
          <w:highlight w:val="none"/>
        </w:rPr>
      </w:pPr>
      <w:r>
        <w:rPr>
          <w:color w:val="auto"/>
          <w:kern w:val="0"/>
          <w:sz w:val="24"/>
          <w:szCs w:val="24"/>
          <w:highlight w:val="none"/>
        </w:rPr>
        <w:t> </w:t>
      </w:r>
    </w:p>
    <w:p w14:paraId="3F72652E">
      <w:pPr>
        <w:spacing w:line="440" w:lineRule="exact"/>
        <w:rPr>
          <w:color w:val="auto"/>
          <w:kern w:val="0"/>
          <w:sz w:val="24"/>
          <w:szCs w:val="24"/>
          <w:highlight w:val="none"/>
        </w:rPr>
      </w:pPr>
      <w:r>
        <w:rPr>
          <w:color w:val="auto"/>
          <w:kern w:val="0"/>
          <w:sz w:val="24"/>
          <w:szCs w:val="24"/>
          <w:highlight w:val="none"/>
        </w:rPr>
        <w:t>签署日期：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3983261A">
      <w:pPr>
        <w:spacing w:line="440" w:lineRule="exact"/>
        <w:rPr>
          <w:color w:val="auto"/>
          <w:kern w:val="0"/>
          <w:sz w:val="24"/>
          <w:szCs w:val="24"/>
          <w:highlight w:val="none"/>
        </w:rPr>
      </w:pPr>
      <w:r>
        <w:rPr>
          <w:color w:val="auto"/>
          <w:kern w:val="0"/>
          <w:sz w:val="24"/>
          <w:szCs w:val="24"/>
          <w:highlight w:val="none"/>
        </w:rPr>
        <w:t> </w:t>
      </w:r>
    </w:p>
    <w:p w14:paraId="707EE316">
      <w:pPr>
        <w:spacing w:line="440" w:lineRule="exact"/>
        <w:rPr>
          <w:color w:val="auto"/>
          <w:kern w:val="0"/>
          <w:sz w:val="24"/>
          <w:szCs w:val="24"/>
          <w:highlight w:val="none"/>
        </w:rPr>
      </w:pPr>
      <w:r>
        <w:rPr>
          <w:color w:val="auto"/>
          <w:kern w:val="0"/>
          <w:sz w:val="24"/>
          <w:szCs w:val="24"/>
          <w:highlight w:val="none"/>
        </w:rPr>
        <w:t>附：单位负责人、</w:t>
      </w:r>
      <w:r>
        <w:rPr>
          <w:rFonts w:hint="eastAsia"/>
          <w:color w:val="auto"/>
          <w:kern w:val="0"/>
          <w:sz w:val="24"/>
          <w:szCs w:val="24"/>
          <w:highlight w:val="none"/>
          <w:lang w:eastAsia="zh-CN"/>
        </w:rPr>
        <w:t>服务商</w:t>
      </w:r>
      <w:r>
        <w:rPr>
          <w:color w:val="auto"/>
          <w:kern w:val="0"/>
          <w:sz w:val="24"/>
          <w:szCs w:val="24"/>
          <w:highlight w:val="none"/>
        </w:rPr>
        <w:t>代表的身份证正反面复印件</w:t>
      </w:r>
    </w:p>
    <w:tbl>
      <w:tblPr>
        <w:tblStyle w:val="3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14:paraId="3ADE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14:paraId="4BBA636F">
            <w:pPr>
              <w:spacing w:line="440" w:lineRule="exact"/>
              <w:rPr>
                <w:color w:val="auto"/>
                <w:kern w:val="0"/>
                <w:sz w:val="24"/>
                <w:szCs w:val="24"/>
                <w:highlight w:val="none"/>
              </w:rPr>
            </w:pPr>
            <w:r>
              <w:rPr>
                <w:b/>
                <w:bCs/>
                <w:color w:val="auto"/>
                <w:kern w:val="0"/>
                <w:sz w:val="24"/>
                <w:szCs w:val="24"/>
                <w:highlight w:val="none"/>
              </w:rPr>
              <w:t> </w:t>
            </w:r>
          </w:p>
          <w:p w14:paraId="437EC57A">
            <w:pPr>
              <w:spacing w:line="440" w:lineRule="exact"/>
              <w:rPr>
                <w:color w:val="auto"/>
                <w:kern w:val="0"/>
                <w:sz w:val="24"/>
                <w:szCs w:val="24"/>
                <w:highlight w:val="none"/>
              </w:rPr>
            </w:pPr>
            <w:r>
              <w:rPr>
                <w:b/>
                <w:bCs/>
                <w:color w:val="auto"/>
                <w:kern w:val="0"/>
                <w:sz w:val="24"/>
                <w:szCs w:val="24"/>
                <w:highlight w:val="none"/>
              </w:rPr>
              <w:t>要求：真实有效且内容完整、清晰、整洁。</w:t>
            </w:r>
          </w:p>
          <w:p w14:paraId="1A813774">
            <w:pPr>
              <w:spacing w:line="440" w:lineRule="exact"/>
              <w:rPr>
                <w:color w:val="auto"/>
                <w:kern w:val="0"/>
                <w:sz w:val="24"/>
                <w:szCs w:val="24"/>
                <w:highlight w:val="none"/>
              </w:rPr>
            </w:pPr>
            <w:r>
              <w:rPr>
                <w:b/>
                <w:bCs/>
                <w:color w:val="auto"/>
                <w:kern w:val="0"/>
                <w:sz w:val="24"/>
                <w:szCs w:val="24"/>
                <w:highlight w:val="none"/>
              </w:rPr>
              <w:t> </w:t>
            </w:r>
          </w:p>
        </w:tc>
      </w:tr>
    </w:tbl>
    <w:p w14:paraId="4199D513">
      <w:pPr>
        <w:spacing w:line="440" w:lineRule="exact"/>
        <w:jc w:val="center"/>
        <w:rPr>
          <w:rFonts w:hint="eastAsia"/>
          <w:b/>
          <w:bCs/>
          <w:color w:val="auto"/>
          <w:kern w:val="0"/>
          <w:sz w:val="24"/>
          <w:szCs w:val="24"/>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A0BDA6D">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-2营业执照等证明文件</w:t>
      </w:r>
    </w:p>
    <w:p w14:paraId="69DA4551">
      <w:pPr>
        <w:spacing w:line="440" w:lineRule="exact"/>
        <w:rPr>
          <w:color w:val="auto"/>
          <w:kern w:val="0"/>
          <w:sz w:val="24"/>
          <w:szCs w:val="24"/>
          <w:highlight w:val="none"/>
        </w:rPr>
      </w:pPr>
      <w:r>
        <w:rPr>
          <w:color w:val="auto"/>
          <w:kern w:val="0"/>
          <w:sz w:val="24"/>
          <w:szCs w:val="24"/>
          <w:highlight w:val="none"/>
        </w:rPr>
        <w:t> </w:t>
      </w:r>
    </w:p>
    <w:p w14:paraId="5519A576">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17B27716">
      <w:pPr>
        <w:spacing w:line="312"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现附上由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（签发机关名称）签发的我方法人营业执照副本复印件，该执照真实有效。</w:t>
      </w:r>
    </w:p>
    <w:p w14:paraId="43FD4379">
      <w:pPr>
        <w:spacing w:line="312" w:lineRule="auto"/>
        <w:ind w:firstLine="480" w:firstLineChars="200"/>
        <w:jc w:val="left"/>
        <w:rPr>
          <w:rFonts w:ascii="宋体" w:hAnsi="宋体" w:cs="宋体"/>
          <w:color w:val="auto"/>
          <w:sz w:val="24"/>
          <w:highlight w:val="none"/>
        </w:rPr>
      </w:pPr>
    </w:p>
    <w:p w14:paraId="78B37B01">
      <w:pPr>
        <w:spacing w:line="312" w:lineRule="auto"/>
        <w:ind w:firstLine="480" w:firstLineChars="200"/>
        <w:jc w:val="left"/>
        <w:rPr>
          <w:rFonts w:hint="eastAsia" w:ascii="宋体" w:hAnsi="宋体" w:eastAsia="宋体" w:cs="宋体"/>
          <w:color w:val="auto"/>
          <w:sz w:val="24"/>
          <w:highlight w:val="none"/>
          <w:lang w:eastAsia="zh-CN"/>
        </w:rPr>
      </w:pPr>
    </w:p>
    <w:p w14:paraId="244BE043">
      <w:pPr>
        <w:spacing w:line="312" w:lineRule="auto"/>
        <w:ind w:firstLine="480" w:firstLineChars="200"/>
        <w:jc w:val="left"/>
        <w:rPr>
          <w:rFonts w:ascii="宋体" w:hAnsi="宋体" w:cs="宋体"/>
          <w:color w:val="auto"/>
          <w:sz w:val="24"/>
          <w:highlight w:val="none"/>
        </w:rPr>
      </w:pPr>
    </w:p>
    <w:p w14:paraId="007F941F">
      <w:pPr>
        <w:spacing w:line="312" w:lineRule="auto"/>
        <w:ind w:firstLine="480" w:firstLineChars="200"/>
        <w:jc w:val="left"/>
        <w:rPr>
          <w:rFonts w:ascii="宋体" w:hAnsi="宋体" w:cs="宋体"/>
          <w:color w:val="auto"/>
          <w:sz w:val="24"/>
          <w:highlight w:val="none"/>
        </w:rPr>
      </w:pPr>
    </w:p>
    <w:p w14:paraId="24ECBBC5">
      <w:pPr>
        <w:spacing w:line="312"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17BBF257">
      <w:pPr>
        <w:spacing w:line="312"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749DABB">
      <w:pPr>
        <w:spacing w:line="312" w:lineRule="auto"/>
        <w:jc w:val="left"/>
        <w:rPr>
          <w:rFonts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p>
    <w:p w14:paraId="1A924BA1">
      <w:pPr>
        <w:spacing w:line="312" w:lineRule="auto"/>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14:paraId="12E799DC">
      <w:pPr>
        <w:spacing w:line="312" w:lineRule="auto"/>
        <w:jc w:val="left"/>
        <w:rPr>
          <w:rFonts w:ascii="宋体" w:hAnsi="宋体" w:cs="宋体"/>
          <w:b/>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54944810">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-3</w:t>
      </w:r>
      <w:r>
        <w:rPr>
          <w:rFonts w:hint="eastAsia"/>
          <w:b/>
          <w:bCs/>
          <w:color w:val="auto"/>
          <w:kern w:val="0"/>
          <w:sz w:val="24"/>
          <w:szCs w:val="24"/>
          <w:highlight w:val="none"/>
        </w:rPr>
        <w:t>财务状况报告、依法缴纳税收和社会保障资金</w:t>
      </w:r>
    </w:p>
    <w:p w14:paraId="787F76B1">
      <w:pPr>
        <w:spacing w:line="440" w:lineRule="exact"/>
        <w:rPr>
          <w:color w:val="auto"/>
          <w:kern w:val="0"/>
          <w:sz w:val="24"/>
          <w:szCs w:val="24"/>
          <w:highlight w:val="none"/>
        </w:rPr>
      </w:pPr>
      <w:r>
        <w:rPr>
          <w:color w:val="auto"/>
          <w:kern w:val="0"/>
          <w:sz w:val="24"/>
          <w:szCs w:val="24"/>
          <w:highlight w:val="none"/>
        </w:rPr>
        <w:t> </w:t>
      </w:r>
    </w:p>
    <w:p w14:paraId="37F2853A">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065C0BC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rPr>
      </w:pPr>
    </w:p>
    <w:p w14:paraId="3B9E946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shd w:val="clear" w:fill="FFFFFF"/>
          <w:vertAlign w:val="baseline"/>
          <w:lang w:eastAsia="zh-CN"/>
        </w:rPr>
        <w:t>服务商</w:t>
      </w:r>
      <w:r>
        <w:rPr>
          <w:rFonts w:hint="eastAsia" w:ascii="宋体" w:hAnsi="宋体" w:eastAsia="宋体" w:cs="宋体"/>
          <w:i w:val="0"/>
          <w:iCs w:val="0"/>
          <w:caps w:val="0"/>
          <w:color w:val="auto"/>
          <w:spacing w:val="0"/>
          <w:sz w:val="24"/>
          <w:szCs w:val="24"/>
          <w:highlight w:val="none"/>
          <w:shd w:val="clear" w:fill="FFFFFF"/>
          <w:vertAlign w:val="baseline"/>
        </w:rPr>
        <w:t>财务状况报告、依法缴纳税收和社会保障资金的相关材料：</w:t>
      </w:r>
    </w:p>
    <w:p w14:paraId="6487BCB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财务状况（提供上一年度或上一季度经审计的财务报告；近六个月内基本开户银行出具的资信证明）依法缴纳税收和社会保障资金的相关材料（近六个月内任意一个月缴交证明）。</w:t>
      </w:r>
    </w:p>
    <w:p w14:paraId="6A81A836">
      <w:pPr>
        <w:spacing w:line="440" w:lineRule="exact"/>
        <w:rPr>
          <w:color w:val="auto"/>
          <w:kern w:val="0"/>
          <w:sz w:val="24"/>
          <w:szCs w:val="24"/>
          <w:highlight w:val="none"/>
        </w:rPr>
      </w:pPr>
      <w:r>
        <w:rPr>
          <w:color w:val="auto"/>
          <w:kern w:val="0"/>
          <w:sz w:val="24"/>
          <w:szCs w:val="24"/>
          <w:highlight w:val="none"/>
        </w:rPr>
        <w:t> </w:t>
      </w:r>
    </w:p>
    <w:p w14:paraId="7276A11D">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222C1A00">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0E5CEB03">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07A89A87">
      <w:pPr>
        <w:spacing w:line="440" w:lineRule="exact"/>
        <w:rPr>
          <w:color w:val="auto"/>
          <w:kern w:val="0"/>
          <w:sz w:val="24"/>
          <w:szCs w:val="24"/>
          <w:highlight w:val="none"/>
        </w:rPr>
      </w:pPr>
      <w:r>
        <w:rPr>
          <w:color w:val="auto"/>
          <w:kern w:val="0"/>
          <w:sz w:val="24"/>
          <w:szCs w:val="24"/>
          <w:highlight w:val="none"/>
        </w:rPr>
        <w:t> </w:t>
      </w:r>
    </w:p>
    <w:p w14:paraId="6D71CF82">
      <w:pPr>
        <w:spacing w:line="440" w:lineRule="exact"/>
        <w:rPr>
          <w:color w:val="auto"/>
          <w:kern w:val="0"/>
          <w:sz w:val="24"/>
          <w:szCs w:val="24"/>
          <w:highlight w:val="none"/>
        </w:rPr>
      </w:pPr>
      <w:r>
        <w:rPr>
          <w:color w:val="auto"/>
          <w:kern w:val="0"/>
          <w:sz w:val="24"/>
          <w:szCs w:val="24"/>
          <w:highlight w:val="none"/>
        </w:rPr>
        <w:t> </w:t>
      </w:r>
    </w:p>
    <w:p w14:paraId="5DFD79C3">
      <w:pPr>
        <w:spacing w:line="440" w:lineRule="exact"/>
        <w:rPr>
          <w:color w:val="auto"/>
          <w:kern w:val="0"/>
          <w:sz w:val="24"/>
          <w:szCs w:val="24"/>
          <w:highlight w:val="none"/>
        </w:rPr>
      </w:pPr>
      <w:r>
        <w:rPr>
          <w:color w:val="auto"/>
          <w:kern w:val="0"/>
          <w:sz w:val="24"/>
          <w:szCs w:val="24"/>
          <w:highlight w:val="none"/>
        </w:rPr>
        <w:br w:type="page"/>
      </w:r>
    </w:p>
    <w:p w14:paraId="6CF13E34">
      <w:pPr>
        <w:spacing w:line="440" w:lineRule="exact"/>
        <w:jc w:val="center"/>
        <w:rPr>
          <w:color w:val="auto"/>
          <w:kern w:val="0"/>
          <w:sz w:val="24"/>
          <w:szCs w:val="24"/>
          <w:highlight w:val="none"/>
        </w:rPr>
      </w:pP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4</w:t>
      </w:r>
      <w:r>
        <w:rPr>
          <w:b/>
          <w:bCs/>
          <w:color w:val="auto"/>
          <w:kern w:val="0"/>
          <w:sz w:val="24"/>
          <w:szCs w:val="24"/>
          <w:highlight w:val="none"/>
        </w:rPr>
        <w:t>具备履行合同所必需设备和专业技术能力的声明函</w:t>
      </w:r>
    </w:p>
    <w:p w14:paraId="6633627B">
      <w:pPr>
        <w:spacing w:line="440" w:lineRule="exact"/>
        <w:rPr>
          <w:color w:val="auto"/>
          <w:kern w:val="0"/>
          <w:sz w:val="24"/>
          <w:szCs w:val="24"/>
          <w:highlight w:val="none"/>
        </w:rPr>
      </w:pPr>
      <w:r>
        <w:rPr>
          <w:color w:val="auto"/>
          <w:kern w:val="0"/>
          <w:sz w:val="24"/>
          <w:szCs w:val="24"/>
          <w:highlight w:val="none"/>
        </w:rPr>
        <w:t> </w:t>
      </w:r>
    </w:p>
    <w:p w14:paraId="13C7E0A8">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4EA56753">
      <w:pPr>
        <w:spacing w:line="440" w:lineRule="exact"/>
        <w:rPr>
          <w:color w:val="auto"/>
          <w:kern w:val="0"/>
          <w:sz w:val="24"/>
          <w:szCs w:val="24"/>
          <w:highlight w:val="none"/>
        </w:rPr>
      </w:pPr>
      <w:r>
        <w:rPr>
          <w:color w:val="auto"/>
          <w:kern w:val="0"/>
          <w:sz w:val="24"/>
          <w:szCs w:val="24"/>
          <w:highlight w:val="none"/>
        </w:rPr>
        <w:t>我方具备履行合同所必需的设备和专业技术能力，否则产生不利后果由我方承担责任。</w:t>
      </w:r>
    </w:p>
    <w:p w14:paraId="59E61F1C">
      <w:pPr>
        <w:spacing w:line="440" w:lineRule="exact"/>
        <w:rPr>
          <w:color w:val="auto"/>
          <w:kern w:val="0"/>
          <w:sz w:val="24"/>
          <w:szCs w:val="24"/>
          <w:highlight w:val="none"/>
        </w:rPr>
      </w:pPr>
      <w:r>
        <w:rPr>
          <w:color w:val="auto"/>
          <w:kern w:val="0"/>
          <w:sz w:val="24"/>
          <w:szCs w:val="24"/>
          <w:highlight w:val="none"/>
        </w:rPr>
        <w:t>特此声明。</w:t>
      </w:r>
    </w:p>
    <w:p w14:paraId="09D5E8CC">
      <w:pPr>
        <w:spacing w:line="440" w:lineRule="exact"/>
        <w:rPr>
          <w:color w:val="auto"/>
          <w:kern w:val="0"/>
          <w:sz w:val="24"/>
          <w:szCs w:val="24"/>
          <w:highlight w:val="none"/>
        </w:rPr>
      </w:pPr>
      <w:r>
        <w:rPr>
          <w:color w:val="auto"/>
          <w:kern w:val="0"/>
          <w:sz w:val="24"/>
          <w:szCs w:val="24"/>
          <w:highlight w:val="none"/>
        </w:rPr>
        <w:t> </w:t>
      </w:r>
    </w:p>
    <w:p w14:paraId="36B75BE2">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5FC0F083">
      <w:pPr>
        <w:spacing w:line="440" w:lineRule="exact"/>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lang w:eastAsia="zh-CN"/>
        </w:rPr>
        <w:t>申请文件</w:t>
      </w:r>
      <w:r>
        <w:rPr>
          <w:color w:val="auto"/>
          <w:kern w:val="0"/>
          <w:sz w:val="24"/>
          <w:szCs w:val="24"/>
          <w:highlight w:val="none"/>
        </w:rPr>
        <w:t>正本中的本声明函应为原件。</w:t>
      </w:r>
    </w:p>
    <w:p w14:paraId="06A6CE6F">
      <w:pPr>
        <w:spacing w:line="440" w:lineRule="exact"/>
        <w:rPr>
          <w:color w:val="auto"/>
          <w:kern w:val="0"/>
          <w:sz w:val="24"/>
          <w:szCs w:val="24"/>
          <w:highlight w:val="none"/>
        </w:rPr>
      </w:pPr>
      <w:r>
        <w:rPr>
          <w:color w:val="auto"/>
          <w:kern w:val="0"/>
          <w:sz w:val="24"/>
          <w:szCs w:val="24"/>
          <w:highlight w:val="none"/>
        </w:rPr>
        <w:t>2、请</w:t>
      </w:r>
      <w:r>
        <w:rPr>
          <w:rFonts w:hint="eastAsia"/>
          <w:color w:val="auto"/>
          <w:kern w:val="0"/>
          <w:sz w:val="24"/>
          <w:szCs w:val="24"/>
          <w:highlight w:val="none"/>
          <w:lang w:eastAsia="zh-CN"/>
        </w:rPr>
        <w:t>服务商</w:t>
      </w:r>
      <w:r>
        <w:rPr>
          <w:color w:val="auto"/>
          <w:kern w:val="0"/>
          <w:sz w:val="24"/>
          <w:szCs w:val="24"/>
          <w:highlight w:val="none"/>
        </w:rPr>
        <w:t>根据实际情况如实声明，否则</w:t>
      </w:r>
      <w:r>
        <w:rPr>
          <w:b/>
          <w:bCs/>
          <w:color w:val="auto"/>
          <w:kern w:val="0"/>
          <w:sz w:val="24"/>
          <w:szCs w:val="24"/>
          <w:highlight w:val="none"/>
        </w:rPr>
        <w:t>视为提供虚假材料。</w:t>
      </w:r>
    </w:p>
    <w:p w14:paraId="38AA8FC9">
      <w:pPr>
        <w:spacing w:line="440" w:lineRule="exact"/>
        <w:rPr>
          <w:color w:val="auto"/>
          <w:kern w:val="0"/>
          <w:sz w:val="24"/>
          <w:szCs w:val="24"/>
          <w:highlight w:val="none"/>
        </w:rPr>
      </w:pPr>
      <w:r>
        <w:rPr>
          <w:color w:val="auto"/>
          <w:kern w:val="0"/>
          <w:sz w:val="24"/>
          <w:szCs w:val="24"/>
          <w:highlight w:val="none"/>
        </w:rPr>
        <w:t> </w:t>
      </w:r>
    </w:p>
    <w:p w14:paraId="6C6D5596">
      <w:pPr>
        <w:spacing w:line="440" w:lineRule="exact"/>
        <w:rPr>
          <w:color w:val="auto"/>
          <w:kern w:val="0"/>
          <w:sz w:val="24"/>
          <w:szCs w:val="24"/>
          <w:highlight w:val="none"/>
        </w:rPr>
      </w:pPr>
      <w:r>
        <w:rPr>
          <w:color w:val="auto"/>
          <w:kern w:val="0"/>
          <w:sz w:val="24"/>
          <w:szCs w:val="24"/>
          <w:highlight w:val="none"/>
        </w:rPr>
        <w:t> </w:t>
      </w:r>
    </w:p>
    <w:p w14:paraId="1A350FCB">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046ED7B2">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4ADB43A0">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0EA9E50E">
      <w:pPr>
        <w:spacing w:line="440" w:lineRule="exact"/>
        <w:jc w:val="center"/>
        <w:rPr>
          <w:color w:val="auto"/>
          <w:kern w:val="0"/>
          <w:sz w:val="24"/>
          <w:szCs w:val="24"/>
          <w:highlight w:val="none"/>
        </w:rPr>
      </w:pPr>
      <w:r>
        <w:rPr>
          <w:color w:val="0000FF"/>
          <w:kern w:val="0"/>
          <w:sz w:val="24"/>
          <w:szCs w:val="24"/>
          <w:highlight w:val="none"/>
        </w:rPr>
        <w:br w:type="page"/>
      </w: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5</w:t>
      </w:r>
      <w:r>
        <w:rPr>
          <w:b/>
          <w:bCs/>
          <w:color w:val="auto"/>
          <w:kern w:val="0"/>
          <w:sz w:val="24"/>
          <w:szCs w:val="24"/>
          <w:highlight w:val="none"/>
        </w:rPr>
        <w:t>参加采购活动前三年内在经营活动中没有重大违法记录书面声明</w:t>
      </w:r>
    </w:p>
    <w:p w14:paraId="4900F024">
      <w:pPr>
        <w:spacing w:line="440" w:lineRule="exact"/>
        <w:rPr>
          <w:color w:val="auto"/>
          <w:kern w:val="0"/>
          <w:sz w:val="24"/>
          <w:szCs w:val="24"/>
          <w:highlight w:val="none"/>
        </w:rPr>
      </w:pPr>
      <w:r>
        <w:rPr>
          <w:color w:val="auto"/>
          <w:kern w:val="0"/>
          <w:sz w:val="24"/>
          <w:szCs w:val="24"/>
          <w:highlight w:val="none"/>
        </w:rPr>
        <w:t> </w:t>
      </w:r>
    </w:p>
    <w:p w14:paraId="31512029">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300A959C">
      <w:pPr>
        <w:widowControl/>
        <w:spacing w:line="440" w:lineRule="exact"/>
        <w:ind w:firstLine="420"/>
        <w:jc w:val="left"/>
        <w:rPr>
          <w:color w:val="auto"/>
          <w:kern w:val="0"/>
          <w:sz w:val="24"/>
          <w:szCs w:val="24"/>
          <w:highlight w:val="none"/>
        </w:rPr>
      </w:pPr>
      <w:r>
        <w:rPr>
          <w:color w:val="auto"/>
          <w:kern w:val="0"/>
          <w:sz w:val="24"/>
          <w:szCs w:val="24"/>
          <w:highlight w:val="none"/>
        </w:rPr>
        <w:t>参加采购活动前三年内，我方在经营活动中没有重大违法记录，也无行贿犯罪记录，否则产生不利后果由我方承担责任。</w:t>
      </w:r>
    </w:p>
    <w:p w14:paraId="739DFABD">
      <w:pPr>
        <w:widowControl/>
        <w:spacing w:line="440" w:lineRule="exact"/>
        <w:ind w:firstLine="420"/>
        <w:jc w:val="left"/>
        <w:rPr>
          <w:color w:val="auto"/>
          <w:kern w:val="0"/>
          <w:sz w:val="24"/>
          <w:szCs w:val="24"/>
          <w:highlight w:val="none"/>
        </w:rPr>
      </w:pPr>
      <w:r>
        <w:rPr>
          <w:color w:val="auto"/>
          <w:kern w:val="0"/>
          <w:sz w:val="24"/>
          <w:szCs w:val="24"/>
          <w:highlight w:val="none"/>
        </w:rPr>
        <w:t>特此声明。</w:t>
      </w:r>
    </w:p>
    <w:p w14:paraId="33D7DCCB">
      <w:pPr>
        <w:spacing w:line="440" w:lineRule="exact"/>
        <w:rPr>
          <w:color w:val="auto"/>
          <w:kern w:val="0"/>
          <w:sz w:val="24"/>
          <w:szCs w:val="24"/>
          <w:highlight w:val="none"/>
        </w:rPr>
      </w:pPr>
      <w:r>
        <w:rPr>
          <w:color w:val="auto"/>
          <w:kern w:val="0"/>
          <w:sz w:val="24"/>
          <w:szCs w:val="24"/>
          <w:highlight w:val="none"/>
        </w:rPr>
        <w:t> </w:t>
      </w:r>
    </w:p>
    <w:p w14:paraId="41C867C7">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078724AF">
      <w:pPr>
        <w:spacing w:line="440" w:lineRule="exact"/>
        <w:rPr>
          <w:color w:val="auto"/>
          <w:kern w:val="0"/>
          <w:sz w:val="24"/>
          <w:szCs w:val="24"/>
          <w:highlight w:val="none"/>
        </w:rPr>
      </w:pPr>
      <w:r>
        <w:rPr>
          <w:color w:val="auto"/>
          <w:kern w:val="0"/>
          <w:sz w:val="24"/>
          <w:szCs w:val="24"/>
          <w:highlight w:val="none"/>
        </w:rPr>
        <w:t>1、“重大违法记录”指</w:t>
      </w:r>
      <w:r>
        <w:rPr>
          <w:rFonts w:hint="eastAsia"/>
          <w:color w:val="auto"/>
          <w:kern w:val="0"/>
          <w:sz w:val="24"/>
          <w:szCs w:val="24"/>
          <w:highlight w:val="none"/>
          <w:lang w:eastAsia="zh-CN"/>
        </w:rPr>
        <w:t>服务商</w:t>
      </w:r>
      <w:r>
        <w:rPr>
          <w:color w:val="auto"/>
          <w:kern w:val="0"/>
          <w:sz w:val="24"/>
          <w:szCs w:val="24"/>
          <w:highlight w:val="none"/>
        </w:rPr>
        <w:t>因违法经营受到刑事处罚或责令停产停业、吊销许可证或执照、较大数额罚款等行政处罚。</w:t>
      </w:r>
    </w:p>
    <w:p w14:paraId="4A1DD5C2">
      <w:pPr>
        <w:spacing w:line="440" w:lineRule="exact"/>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lang w:eastAsia="zh-CN"/>
        </w:rPr>
        <w:t>申请文件</w:t>
      </w:r>
      <w:r>
        <w:rPr>
          <w:color w:val="auto"/>
          <w:kern w:val="0"/>
          <w:sz w:val="24"/>
          <w:szCs w:val="24"/>
          <w:highlight w:val="none"/>
        </w:rPr>
        <w:t>正本中的本声明应为原件。</w:t>
      </w:r>
    </w:p>
    <w:p w14:paraId="3D3F9C36">
      <w:pPr>
        <w:spacing w:line="440" w:lineRule="exact"/>
        <w:rPr>
          <w:color w:val="auto"/>
          <w:kern w:val="0"/>
          <w:sz w:val="24"/>
          <w:szCs w:val="24"/>
          <w:highlight w:val="none"/>
        </w:rPr>
      </w:pPr>
      <w:r>
        <w:rPr>
          <w:color w:val="auto"/>
          <w:kern w:val="0"/>
          <w:sz w:val="24"/>
          <w:szCs w:val="24"/>
          <w:highlight w:val="none"/>
        </w:rPr>
        <w:t>3、请</w:t>
      </w:r>
      <w:r>
        <w:rPr>
          <w:rFonts w:hint="eastAsia"/>
          <w:color w:val="auto"/>
          <w:kern w:val="0"/>
          <w:sz w:val="24"/>
          <w:szCs w:val="24"/>
          <w:highlight w:val="none"/>
          <w:lang w:eastAsia="zh-CN"/>
        </w:rPr>
        <w:t>服务商</w:t>
      </w:r>
      <w:r>
        <w:rPr>
          <w:color w:val="auto"/>
          <w:kern w:val="0"/>
          <w:sz w:val="24"/>
          <w:szCs w:val="24"/>
          <w:highlight w:val="none"/>
        </w:rPr>
        <w:t>根据实际情况如实声明，否则</w:t>
      </w:r>
      <w:r>
        <w:rPr>
          <w:b/>
          <w:bCs/>
          <w:color w:val="auto"/>
          <w:kern w:val="0"/>
          <w:sz w:val="24"/>
          <w:szCs w:val="24"/>
          <w:highlight w:val="none"/>
        </w:rPr>
        <w:t>视为提供虚假材料。</w:t>
      </w:r>
    </w:p>
    <w:p w14:paraId="739AC348">
      <w:pPr>
        <w:spacing w:line="440" w:lineRule="exact"/>
        <w:rPr>
          <w:color w:val="auto"/>
          <w:kern w:val="0"/>
          <w:sz w:val="24"/>
          <w:szCs w:val="24"/>
          <w:highlight w:val="none"/>
        </w:rPr>
      </w:pPr>
      <w:r>
        <w:rPr>
          <w:color w:val="auto"/>
          <w:kern w:val="0"/>
          <w:sz w:val="24"/>
          <w:szCs w:val="24"/>
          <w:highlight w:val="none"/>
        </w:rPr>
        <w:t> </w:t>
      </w:r>
    </w:p>
    <w:p w14:paraId="4F0E2192">
      <w:pPr>
        <w:spacing w:line="440" w:lineRule="exact"/>
        <w:rPr>
          <w:color w:val="auto"/>
          <w:kern w:val="0"/>
          <w:sz w:val="24"/>
          <w:szCs w:val="24"/>
          <w:highlight w:val="none"/>
        </w:rPr>
      </w:pPr>
      <w:r>
        <w:rPr>
          <w:color w:val="auto"/>
          <w:kern w:val="0"/>
          <w:sz w:val="24"/>
          <w:szCs w:val="24"/>
          <w:highlight w:val="none"/>
        </w:rPr>
        <w:t> </w:t>
      </w:r>
    </w:p>
    <w:p w14:paraId="1FD285C0">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169F97FB">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1E434098">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62BB85E5">
      <w:pPr>
        <w:spacing w:line="440" w:lineRule="exact"/>
        <w:rPr>
          <w:color w:val="auto"/>
          <w:kern w:val="0"/>
          <w:sz w:val="24"/>
          <w:szCs w:val="24"/>
          <w:highlight w:val="none"/>
        </w:rPr>
      </w:pPr>
      <w:r>
        <w:rPr>
          <w:color w:val="auto"/>
          <w:kern w:val="0"/>
          <w:sz w:val="24"/>
          <w:szCs w:val="24"/>
          <w:highlight w:val="none"/>
        </w:rPr>
        <w:t> </w:t>
      </w:r>
    </w:p>
    <w:p w14:paraId="6E654C91">
      <w:pPr>
        <w:spacing w:line="440" w:lineRule="exact"/>
        <w:rPr>
          <w:color w:val="auto"/>
          <w:kern w:val="0"/>
          <w:sz w:val="24"/>
          <w:szCs w:val="24"/>
          <w:highlight w:val="none"/>
        </w:rPr>
      </w:pPr>
      <w:r>
        <w:rPr>
          <w:color w:val="auto"/>
          <w:kern w:val="0"/>
          <w:sz w:val="24"/>
          <w:szCs w:val="24"/>
          <w:highlight w:val="none"/>
        </w:rPr>
        <w:t> </w:t>
      </w:r>
    </w:p>
    <w:p w14:paraId="25273F8C">
      <w:pPr>
        <w:spacing w:line="440" w:lineRule="exact"/>
        <w:jc w:val="center"/>
        <w:rPr>
          <w:color w:val="0000FF"/>
          <w:kern w:val="0"/>
          <w:sz w:val="24"/>
          <w:szCs w:val="24"/>
          <w:highlight w:val="none"/>
        </w:rPr>
      </w:pPr>
      <w:r>
        <w:rPr>
          <w:color w:val="auto"/>
          <w:kern w:val="0"/>
          <w:sz w:val="24"/>
          <w:szCs w:val="24"/>
          <w:highlight w:val="none"/>
        </w:rPr>
        <w:br w:type="page"/>
      </w:r>
    </w:p>
    <w:p w14:paraId="47C557EE">
      <w:pPr>
        <w:spacing w:line="440" w:lineRule="exact"/>
        <w:jc w:val="center"/>
        <w:rPr>
          <w:color w:val="auto"/>
          <w:kern w:val="0"/>
          <w:sz w:val="24"/>
          <w:szCs w:val="24"/>
          <w:highlight w:val="none"/>
        </w:rPr>
      </w:pP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6</w:t>
      </w:r>
      <w:r>
        <w:rPr>
          <w:b/>
          <w:bCs/>
          <w:color w:val="auto"/>
          <w:kern w:val="0"/>
          <w:sz w:val="24"/>
          <w:szCs w:val="24"/>
          <w:highlight w:val="none"/>
        </w:rPr>
        <w:t>信用记录查询结果</w:t>
      </w:r>
    </w:p>
    <w:p w14:paraId="0BC0CF37">
      <w:pPr>
        <w:spacing w:line="440" w:lineRule="exact"/>
        <w:rPr>
          <w:color w:val="auto"/>
          <w:kern w:val="0"/>
          <w:sz w:val="24"/>
          <w:szCs w:val="24"/>
          <w:highlight w:val="none"/>
        </w:rPr>
      </w:pPr>
      <w:r>
        <w:rPr>
          <w:color w:val="auto"/>
          <w:kern w:val="0"/>
          <w:sz w:val="24"/>
          <w:szCs w:val="24"/>
          <w:highlight w:val="none"/>
        </w:rPr>
        <w:t> </w:t>
      </w:r>
    </w:p>
    <w:p w14:paraId="5A10890F">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2507BB32">
      <w:pPr>
        <w:spacing w:line="440" w:lineRule="exact"/>
        <w:rPr>
          <w:color w:val="auto"/>
          <w:kern w:val="0"/>
          <w:sz w:val="24"/>
          <w:szCs w:val="24"/>
          <w:highlight w:val="none"/>
        </w:rPr>
      </w:pPr>
      <w:r>
        <w:rPr>
          <w:color w:val="auto"/>
          <w:kern w:val="0"/>
          <w:sz w:val="24"/>
          <w:szCs w:val="24"/>
          <w:highlight w:val="none"/>
        </w:rPr>
        <w:t>现附上截至</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r>
        <w:rPr>
          <w:color w:val="auto"/>
          <w:kern w:val="0"/>
          <w:sz w:val="24"/>
          <w:szCs w:val="24"/>
          <w:highlight w:val="none"/>
          <w:u w:val="single"/>
        </w:rPr>
        <w:t>   </w:t>
      </w:r>
      <w:r>
        <w:rPr>
          <w:color w:val="auto"/>
          <w:kern w:val="0"/>
          <w:sz w:val="24"/>
          <w:szCs w:val="24"/>
          <w:highlight w:val="none"/>
        </w:rPr>
        <w:t>时我方通过“信用中国”网站（www.creditchina.gov.cn）获取的我方信用信息查询结果</w:t>
      </w:r>
      <w:r>
        <w:rPr>
          <w:color w:val="auto"/>
          <w:kern w:val="0"/>
          <w:sz w:val="24"/>
          <w:szCs w:val="24"/>
          <w:highlight w:val="none"/>
          <w:u w:val="single"/>
        </w:rPr>
        <w:t>（填写具体份数）</w:t>
      </w:r>
      <w:r>
        <w:rPr>
          <w:color w:val="auto"/>
          <w:kern w:val="0"/>
          <w:sz w:val="24"/>
          <w:szCs w:val="24"/>
          <w:highlight w:val="none"/>
        </w:rPr>
        <w:t>份、通过中国政府采购网（www.ccgp.gov.cn）获取的我方信用信息查询结果</w:t>
      </w:r>
      <w:r>
        <w:rPr>
          <w:color w:val="auto"/>
          <w:kern w:val="0"/>
          <w:sz w:val="24"/>
          <w:szCs w:val="24"/>
          <w:highlight w:val="none"/>
          <w:u w:val="single"/>
        </w:rPr>
        <w:t>（填写具体份数）</w:t>
      </w:r>
      <w:r>
        <w:rPr>
          <w:color w:val="auto"/>
          <w:kern w:val="0"/>
          <w:sz w:val="24"/>
          <w:szCs w:val="24"/>
          <w:highlight w:val="none"/>
        </w:rPr>
        <w:t>份，上述信用信息查询结果真实有效，否则我方负全部责任。</w:t>
      </w:r>
    </w:p>
    <w:p w14:paraId="363A63EA">
      <w:pPr>
        <w:spacing w:line="440" w:lineRule="exact"/>
        <w:rPr>
          <w:color w:val="auto"/>
          <w:kern w:val="0"/>
          <w:sz w:val="24"/>
          <w:szCs w:val="24"/>
          <w:highlight w:val="none"/>
        </w:rPr>
      </w:pPr>
      <w:r>
        <w:rPr>
          <w:color w:val="auto"/>
          <w:kern w:val="0"/>
          <w:sz w:val="24"/>
          <w:szCs w:val="24"/>
          <w:highlight w:val="none"/>
        </w:rPr>
        <w:t> </w:t>
      </w:r>
    </w:p>
    <w:p w14:paraId="2092493B">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53320DB2">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应在</w:t>
      </w:r>
      <w:r>
        <w:rPr>
          <w:rFonts w:hint="eastAsia"/>
          <w:color w:val="auto"/>
          <w:kern w:val="0"/>
          <w:sz w:val="24"/>
          <w:szCs w:val="24"/>
          <w:highlight w:val="none"/>
          <w:lang w:eastAsia="zh-CN"/>
        </w:rPr>
        <w:t>征集文件</w:t>
      </w:r>
      <w:r>
        <w:rPr>
          <w:color w:val="auto"/>
          <w:kern w:val="0"/>
          <w:sz w:val="24"/>
          <w:szCs w:val="24"/>
          <w:highlight w:val="none"/>
        </w:rPr>
        <w:t>要求的截止时点前分别通过“信用中国”网站（www.creditchina.gov.cn）、中国政府采购网（www.ccgp.gov.cn）查询并打印相应的信用记录，</w:t>
      </w:r>
      <w:r>
        <w:rPr>
          <w:rFonts w:hint="eastAsia"/>
          <w:color w:val="auto"/>
          <w:kern w:val="0"/>
          <w:sz w:val="24"/>
          <w:szCs w:val="24"/>
          <w:highlight w:val="none"/>
          <w:lang w:eastAsia="zh-CN"/>
        </w:rPr>
        <w:t>服务商</w:t>
      </w:r>
      <w:r>
        <w:rPr>
          <w:color w:val="auto"/>
          <w:kern w:val="0"/>
          <w:sz w:val="24"/>
          <w:szCs w:val="24"/>
          <w:highlight w:val="none"/>
        </w:rPr>
        <w:t>提供的查询结果应为其通过上述网站获取的信用信息查询结果原始页面的打印件（或截图）。</w:t>
      </w:r>
    </w:p>
    <w:p w14:paraId="68AC2842">
      <w:pPr>
        <w:spacing w:line="440" w:lineRule="exact"/>
        <w:rPr>
          <w:color w:val="auto"/>
          <w:kern w:val="0"/>
          <w:sz w:val="24"/>
          <w:szCs w:val="24"/>
          <w:highlight w:val="none"/>
        </w:rPr>
      </w:pPr>
    </w:p>
    <w:p w14:paraId="23A0964D">
      <w:pPr>
        <w:spacing w:line="440" w:lineRule="exact"/>
        <w:rPr>
          <w:color w:val="auto"/>
          <w:kern w:val="0"/>
          <w:sz w:val="24"/>
          <w:szCs w:val="24"/>
          <w:highlight w:val="none"/>
        </w:rPr>
      </w:pPr>
      <w:r>
        <w:rPr>
          <w:color w:val="auto"/>
          <w:kern w:val="0"/>
          <w:sz w:val="24"/>
          <w:szCs w:val="24"/>
          <w:highlight w:val="none"/>
        </w:rPr>
        <w:t> </w:t>
      </w:r>
    </w:p>
    <w:p w14:paraId="72D3A7CE">
      <w:pPr>
        <w:spacing w:line="440" w:lineRule="exact"/>
        <w:rPr>
          <w:color w:val="auto"/>
          <w:kern w:val="0"/>
          <w:sz w:val="24"/>
          <w:szCs w:val="24"/>
          <w:highlight w:val="none"/>
        </w:rPr>
      </w:pPr>
      <w:r>
        <w:rPr>
          <w:color w:val="auto"/>
          <w:kern w:val="0"/>
          <w:sz w:val="24"/>
          <w:szCs w:val="24"/>
          <w:highlight w:val="none"/>
        </w:rPr>
        <w:t> </w:t>
      </w:r>
    </w:p>
    <w:p w14:paraId="6F1D45C4">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76310E8D">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3DF79C3F">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326FDCA6">
      <w:pPr>
        <w:spacing w:line="440" w:lineRule="exact"/>
        <w:rPr>
          <w:color w:val="0000FF"/>
          <w:kern w:val="0"/>
          <w:sz w:val="24"/>
          <w:szCs w:val="24"/>
          <w:highlight w:val="none"/>
        </w:rPr>
      </w:pPr>
      <w:r>
        <w:rPr>
          <w:color w:val="0000FF"/>
          <w:kern w:val="0"/>
          <w:sz w:val="24"/>
          <w:szCs w:val="24"/>
          <w:highlight w:val="none"/>
        </w:rPr>
        <w:t> </w:t>
      </w:r>
    </w:p>
    <w:p w14:paraId="6B6AB87D">
      <w:pPr>
        <w:spacing w:line="440" w:lineRule="exact"/>
        <w:rPr>
          <w:color w:val="0000FF"/>
          <w:kern w:val="0"/>
          <w:sz w:val="24"/>
          <w:szCs w:val="24"/>
          <w:highlight w:val="none"/>
        </w:rPr>
      </w:pPr>
      <w:r>
        <w:rPr>
          <w:color w:val="0000FF"/>
          <w:kern w:val="0"/>
          <w:sz w:val="24"/>
          <w:szCs w:val="24"/>
          <w:highlight w:val="none"/>
        </w:rPr>
        <w:t> </w:t>
      </w:r>
    </w:p>
    <w:p w14:paraId="774D0E40">
      <w:pPr>
        <w:spacing w:line="440" w:lineRule="exact"/>
        <w:jc w:val="center"/>
        <w:rPr>
          <w:rFonts w:hint="eastAsia" w:eastAsia="宋体"/>
          <w:color w:val="auto"/>
          <w:kern w:val="0"/>
          <w:sz w:val="24"/>
          <w:szCs w:val="24"/>
          <w:lang w:eastAsia="zh-CN"/>
        </w:rPr>
      </w:pPr>
      <w:r>
        <w:rPr>
          <w:b/>
          <w:bCs/>
          <w:color w:val="0000FF"/>
          <w:kern w:val="0"/>
          <w:sz w:val="24"/>
          <w:szCs w:val="24"/>
          <w:highlight w:val="none"/>
        </w:rPr>
        <w:br w:type="page"/>
      </w:r>
      <w:r>
        <w:rPr>
          <w:rFonts w:hint="eastAsia"/>
          <w:b/>
          <w:bCs/>
          <w:color w:val="auto"/>
          <w:kern w:val="0"/>
          <w:sz w:val="24"/>
          <w:szCs w:val="24"/>
          <w:lang w:eastAsia="zh-CN"/>
        </w:rPr>
        <w:t>三</w:t>
      </w:r>
      <w:r>
        <w:rPr>
          <w:b/>
          <w:bCs/>
          <w:color w:val="auto"/>
          <w:kern w:val="0"/>
          <w:sz w:val="24"/>
          <w:szCs w:val="24"/>
        </w:rPr>
        <w:t>-</w:t>
      </w:r>
      <w:r>
        <w:rPr>
          <w:rFonts w:hint="eastAsia"/>
          <w:b/>
          <w:bCs/>
          <w:color w:val="auto"/>
          <w:kern w:val="0"/>
          <w:sz w:val="24"/>
          <w:szCs w:val="24"/>
          <w:lang w:val="en-US" w:eastAsia="zh-CN"/>
        </w:rPr>
        <w:t>7</w:t>
      </w:r>
      <w:r>
        <w:rPr>
          <w:rFonts w:hint="eastAsia"/>
          <w:b/>
          <w:bCs/>
          <w:color w:val="auto"/>
          <w:kern w:val="0"/>
          <w:sz w:val="24"/>
          <w:szCs w:val="24"/>
          <w:lang w:eastAsia="zh-CN"/>
        </w:rPr>
        <w:t>特定资格条件</w:t>
      </w:r>
    </w:p>
    <w:p w14:paraId="24FE843A">
      <w:pPr>
        <w:spacing w:line="440" w:lineRule="exact"/>
        <w:ind w:firstLine="420"/>
        <w:rPr>
          <w:color w:val="auto"/>
          <w:sz w:val="24"/>
          <w:szCs w:val="24"/>
        </w:rPr>
      </w:pPr>
      <w:r>
        <w:rPr>
          <w:color w:val="auto"/>
          <w:kern w:val="0"/>
          <w:sz w:val="24"/>
          <w:szCs w:val="24"/>
        </w:rPr>
        <w:t> </w:t>
      </w:r>
    </w:p>
    <w:p w14:paraId="22389DC7">
      <w:pPr>
        <w:spacing w:line="440" w:lineRule="exact"/>
        <w:rPr>
          <w:color w:val="auto"/>
          <w:sz w:val="24"/>
          <w:szCs w:val="24"/>
        </w:rPr>
      </w:pPr>
      <w:r>
        <w:rPr>
          <w:color w:val="auto"/>
          <w:sz w:val="24"/>
          <w:szCs w:val="24"/>
        </w:rPr>
        <w:t>致：(采购人或采购代理机构)</w:t>
      </w:r>
    </w:p>
    <w:p w14:paraId="05058BB0">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color w:val="auto"/>
          <w:sz w:val="24"/>
          <w:szCs w:val="24"/>
          <w:lang w:val="en-US" w:eastAsia="zh-CN"/>
        </w:rPr>
      </w:pPr>
    </w:p>
    <w:p w14:paraId="13C3017C">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我方承诺：</w:t>
      </w:r>
    </w:p>
    <w:p w14:paraId="0E557686">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单位负责人为同一人或者存在直接控股、管理关系的不同参加征集服务商，不得参加同一框架协议项下采购活动（如发现参加的，仅以先提交申请文件且通过审查的服务商作为入围服务商）；为本项目提供整体设计、规范编制或者项目管理、监理、检测等服务的服务商，不得参加本项目的框架协议采购；</w:t>
      </w:r>
    </w:p>
    <w:p w14:paraId="3517A4B2">
      <w:pPr>
        <w:spacing w:line="440" w:lineRule="exact"/>
        <w:ind w:firstLine="480" w:firstLineChars="200"/>
        <w:rPr>
          <w:color w:val="auto"/>
          <w:sz w:val="24"/>
          <w:szCs w:val="24"/>
        </w:rPr>
      </w:pPr>
      <w:r>
        <w:rPr>
          <w:rFonts w:hint="eastAsia" w:asciiTheme="minorEastAsia" w:hAnsiTheme="minorEastAsia" w:eastAsiaTheme="minorEastAsia" w:cstheme="minorEastAsia"/>
          <w:color w:val="auto"/>
          <w:kern w:val="2"/>
          <w:sz w:val="24"/>
          <w:szCs w:val="24"/>
          <w:highlight w:val="none"/>
          <w:lang w:val="en-US" w:eastAsia="zh-CN" w:bidi="ar-SA"/>
        </w:rPr>
        <w:t>2、本项目不接受联合体投标。</w:t>
      </w:r>
    </w:p>
    <w:p w14:paraId="50451424">
      <w:pPr>
        <w:pStyle w:val="33"/>
        <w:spacing w:before="0" w:beforeAutospacing="0" w:after="0" w:afterAutospacing="0" w:line="440" w:lineRule="exact"/>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特此承诺！</w:t>
      </w:r>
    </w:p>
    <w:p w14:paraId="367DFDC9">
      <w:pPr>
        <w:pStyle w:val="33"/>
        <w:spacing w:before="0" w:beforeAutospacing="0" w:after="0" w:afterAutospacing="0" w:line="440" w:lineRule="exact"/>
        <w:rPr>
          <w:rFonts w:ascii="Times New Roman" w:hAnsi="Times New Roman" w:cs="Times New Roman"/>
          <w:color w:val="auto"/>
        </w:rPr>
      </w:pPr>
    </w:p>
    <w:p w14:paraId="13DD1EBC">
      <w:pPr>
        <w:pStyle w:val="33"/>
        <w:spacing w:before="0" w:beforeAutospacing="0" w:after="0" w:afterAutospacing="0" w:line="440" w:lineRule="exact"/>
        <w:rPr>
          <w:rFonts w:ascii="Times New Roman" w:hAnsi="Times New Roman" w:cs="Times New Roman"/>
          <w:color w:val="auto"/>
        </w:rPr>
      </w:pPr>
    </w:p>
    <w:p w14:paraId="1C5E38EB">
      <w:pPr>
        <w:pStyle w:val="33"/>
        <w:spacing w:before="0" w:beforeAutospacing="0" w:after="0" w:afterAutospacing="0" w:line="440" w:lineRule="exact"/>
        <w:rPr>
          <w:rFonts w:ascii="Times New Roman" w:hAnsi="Times New Roman" w:cs="Times New Roman"/>
          <w:color w:val="auto"/>
        </w:rPr>
      </w:pPr>
    </w:p>
    <w:p w14:paraId="6811C3BC">
      <w:pPr>
        <w:pStyle w:val="33"/>
        <w:spacing w:before="0" w:beforeAutospacing="0" w:after="0" w:afterAutospacing="0" w:line="440" w:lineRule="exact"/>
        <w:rPr>
          <w:rFonts w:ascii="Times New Roman" w:hAnsi="Times New Roman" w:cs="Times New Roman"/>
          <w:color w:val="auto"/>
        </w:rPr>
      </w:pPr>
    </w:p>
    <w:p w14:paraId="04667AD7">
      <w:pPr>
        <w:pStyle w:val="33"/>
        <w:spacing w:before="0" w:beforeAutospacing="0" w:after="0" w:afterAutospacing="0" w:line="440" w:lineRule="exact"/>
        <w:rPr>
          <w:rFonts w:ascii="Times New Roman" w:hAnsi="Times New Roman" w:cs="Times New Roman"/>
          <w:color w:val="auto"/>
        </w:rPr>
      </w:pPr>
    </w:p>
    <w:p w14:paraId="5F0F4E58">
      <w:pPr>
        <w:pStyle w:val="33"/>
        <w:spacing w:before="0" w:beforeAutospacing="0" w:after="0" w:afterAutospacing="0" w:line="440" w:lineRule="exact"/>
        <w:rPr>
          <w:rFonts w:ascii="Times New Roman" w:hAnsi="Times New Roman" w:cs="Times New Roman"/>
          <w:color w:val="auto"/>
        </w:rPr>
      </w:pPr>
      <w:r>
        <w:rPr>
          <w:rFonts w:hint="eastAsia" w:ascii="Times New Roman" w:hAnsi="Times New Roman" w:cs="Times New Roman"/>
          <w:color w:val="auto"/>
          <w:lang w:eastAsia="zh-CN"/>
        </w:rPr>
        <w:t>服务商</w:t>
      </w:r>
      <w:r>
        <w:rPr>
          <w:rFonts w:ascii="Times New Roman" w:hAnsi="Times New Roman" w:cs="Times New Roman"/>
          <w:color w:val="auto"/>
        </w:rPr>
        <w:t>：</w:t>
      </w:r>
      <w:r>
        <w:rPr>
          <w:rFonts w:ascii="Times New Roman" w:hAnsi="Times New Roman" w:cs="Times New Roman"/>
          <w:color w:val="auto"/>
          <w:u w:val="single"/>
        </w:rPr>
        <w:t>（全称并加盖单位公章）</w:t>
      </w:r>
    </w:p>
    <w:p w14:paraId="18F49258">
      <w:pPr>
        <w:pStyle w:val="33"/>
        <w:spacing w:before="0" w:beforeAutospacing="0" w:after="0" w:afterAutospacing="0" w:line="440" w:lineRule="exact"/>
        <w:rPr>
          <w:rFonts w:ascii="Times New Roman" w:hAnsi="Times New Roman" w:cs="Times New Roman"/>
          <w:color w:val="auto"/>
        </w:rPr>
      </w:pPr>
      <w:r>
        <w:rPr>
          <w:rFonts w:hint="eastAsia" w:ascii="Times New Roman" w:hAnsi="Times New Roman" w:cs="Times New Roman"/>
          <w:color w:val="auto"/>
          <w:lang w:eastAsia="zh-CN"/>
        </w:rPr>
        <w:t>服务商</w:t>
      </w:r>
      <w:r>
        <w:rPr>
          <w:rFonts w:ascii="Times New Roman" w:hAnsi="Times New Roman" w:cs="Times New Roman"/>
          <w:color w:val="auto"/>
        </w:rPr>
        <w:t>代表签字：</w:t>
      </w:r>
      <w:r>
        <w:rPr>
          <w:rFonts w:ascii="Times New Roman" w:hAnsi="Times New Roman" w:cs="Times New Roman"/>
          <w:color w:val="auto"/>
          <w:u w:val="single"/>
        </w:rPr>
        <w:t>        </w:t>
      </w:r>
    </w:p>
    <w:p w14:paraId="26E832CA">
      <w:pPr>
        <w:pStyle w:val="33"/>
        <w:spacing w:before="0" w:beforeAutospacing="0" w:after="0" w:afterAutospacing="0" w:line="440" w:lineRule="exact"/>
        <w:rPr>
          <w:rFonts w:ascii="Times New Roman" w:hAnsi="Times New Roman" w:cs="Times New Roman"/>
          <w:color w:val="auto"/>
        </w:rPr>
      </w:pPr>
      <w:r>
        <w:rPr>
          <w:rFonts w:ascii="Times New Roman" w:hAnsi="Times New Roman" w:cs="Times New Roman"/>
          <w:color w:val="auto"/>
        </w:rPr>
        <w:t>日期：</w:t>
      </w:r>
      <w:r>
        <w:rPr>
          <w:rFonts w:ascii="Times New Roman" w:hAnsi="Times New Roman" w:cs="Times New Roman"/>
          <w:color w:val="auto"/>
          <w:u w:val="single"/>
        </w:rPr>
        <w:t>    </w:t>
      </w:r>
      <w:r>
        <w:rPr>
          <w:rFonts w:ascii="Times New Roman" w:hAnsi="Times New Roman" w:cs="Times New Roman"/>
          <w:color w:val="auto"/>
        </w:rPr>
        <w:t>年</w:t>
      </w:r>
      <w:r>
        <w:rPr>
          <w:rFonts w:ascii="Times New Roman" w:hAnsi="Times New Roman" w:cs="Times New Roman"/>
          <w:color w:val="auto"/>
          <w:u w:val="single"/>
        </w:rPr>
        <w:t>   </w:t>
      </w:r>
      <w:r>
        <w:rPr>
          <w:rFonts w:ascii="Times New Roman" w:hAnsi="Times New Roman" w:cs="Times New Roman"/>
          <w:color w:val="auto"/>
        </w:rPr>
        <w:t>月</w:t>
      </w:r>
      <w:r>
        <w:rPr>
          <w:rFonts w:ascii="Times New Roman" w:hAnsi="Times New Roman" w:cs="Times New Roman"/>
          <w:color w:val="auto"/>
          <w:u w:val="single"/>
        </w:rPr>
        <w:t>   </w:t>
      </w:r>
      <w:r>
        <w:rPr>
          <w:rFonts w:ascii="Times New Roman" w:hAnsi="Times New Roman" w:cs="Times New Roman"/>
          <w:color w:val="auto"/>
        </w:rPr>
        <w:t>日</w:t>
      </w:r>
    </w:p>
    <w:p w14:paraId="2CA39315">
      <w:pPr>
        <w:spacing w:line="440" w:lineRule="exact"/>
        <w:jc w:val="center"/>
        <w:outlineLvl w:val="1"/>
        <w:rPr>
          <w:rFonts w:hint="eastAsia"/>
          <w:b/>
          <w:bCs/>
          <w:color w:val="0000FF"/>
          <w:kern w:val="0"/>
          <w:sz w:val="24"/>
          <w:szCs w:val="24"/>
          <w:lang w:eastAsia="zh-CN"/>
        </w:rPr>
        <w:sectPr>
          <w:headerReference r:id="rId11"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10" w:name="_Toc19926"/>
      <w:bookmarkStart w:id="111" w:name="_Toc9249"/>
      <w:bookmarkStart w:id="112" w:name="_Toc31398"/>
      <w:bookmarkStart w:id="113" w:name="_Toc7241"/>
      <w:bookmarkStart w:id="114" w:name="_Toc31388"/>
      <w:bookmarkStart w:id="115" w:name="_Toc7837"/>
      <w:bookmarkStart w:id="116" w:name="_Toc7760"/>
      <w:bookmarkStart w:id="117" w:name="_Toc28768"/>
      <w:bookmarkStart w:id="118" w:name="_Toc26071"/>
      <w:bookmarkStart w:id="119" w:name="_Toc17018"/>
      <w:bookmarkStart w:id="120" w:name="_Toc31463"/>
    </w:p>
    <w:p w14:paraId="02601351">
      <w:pPr>
        <w:spacing w:line="440" w:lineRule="exact"/>
        <w:jc w:val="center"/>
        <w:outlineLvl w:val="1"/>
        <w:rPr>
          <w:b/>
          <w:bCs/>
          <w:color w:val="auto"/>
          <w:kern w:val="0"/>
          <w:sz w:val="24"/>
          <w:szCs w:val="24"/>
        </w:rPr>
      </w:pPr>
      <w:bookmarkStart w:id="121" w:name="_Toc27212"/>
      <w:r>
        <w:rPr>
          <w:rFonts w:hint="eastAsia"/>
          <w:b/>
          <w:bCs/>
          <w:color w:val="auto"/>
          <w:kern w:val="0"/>
          <w:sz w:val="24"/>
          <w:szCs w:val="24"/>
          <w:lang w:eastAsia="zh-CN"/>
        </w:rPr>
        <w:t>四、</w:t>
      </w:r>
      <w:r>
        <w:rPr>
          <w:rFonts w:hint="eastAsia"/>
          <w:b/>
          <w:bCs/>
          <w:color w:val="auto"/>
          <w:kern w:val="0"/>
          <w:sz w:val="24"/>
          <w:szCs w:val="24"/>
        </w:rPr>
        <w:t>偏离表</w:t>
      </w:r>
      <w:bookmarkEnd w:id="110"/>
      <w:bookmarkEnd w:id="111"/>
      <w:bookmarkEnd w:id="112"/>
      <w:bookmarkEnd w:id="113"/>
      <w:bookmarkEnd w:id="114"/>
      <w:bookmarkEnd w:id="115"/>
      <w:bookmarkEnd w:id="116"/>
      <w:bookmarkEnd w:id="117"/>
      <w:bookmarkEnd w:id="118"/>
      <w:bookmarkEnd w:id="119"/>
      <w:bookmarkEnd w:id="120"/>
      <w:bookmarkEnd w:id="121"/>
    </w:p>
    <w:p w14:paraId="759D0D92">
      <w:pPr>
        <w:pStyle w:val="186"/>
        <w:keepNext w:val="0"/>
        <w:keepLines w:val="0"/>
        <w:tabs>
          <w:tab w:val="clear" w:pos="816"/>
        </w:tabs>
        <w:spacing w:before="0" w:after="0" w:line="480" w:lineRule="exact"/>
        <w:ind w:left="0" w:firstLine="0"/>
        <w:jc w:val="both"/>
        <w:outlineLvl w:val="9"/>
        <w:rPr>
          <w:rFonts w:ascii="宋体" w:hAnsi="宋体" w:eastAsia="宋体" w:cs="宋体"/>
          <w:color w:val="auto"/>
          <w:sz w:val="24"/>
          <w:szCs w:val="24"/>
          <w:highlight w:val="none"/>
        </w:rPr>
      </w:pPr>
      <w:bookmarkStart w:id="122" w:name="_Toc3546"/>
      <w:bookmarkStart w:id="123" w:name="_Toc19317"/>
      <w:bookmarkStart w:id="124" w:name="_Toc9870"/>
      <w:bookmarkStart w:id="125" w:name="_Toc30335"/>
      <w:bookmarkStart w:id="126" w:name="_Toc19160"/>
      <w:bookmarkStart w:id="127" w:name="_Toc30351"/>
      <w:bookmarkStart w:id="128" w:name="_Toc24454"/>
      <w:bookmarkStart w:id="129" w:name="_Toc9486"/>
      <w:bookmarkStart w:id="130" w:name="_Toc16426"/>
      <w:bookmarkStart w:id="131" w:name="_Toc3503"/>
      <w:bookmarkStart w:id="132" w:name="_Toc29997"/>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 xml:space="preserve">名称（全称并加盖公章）：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bookmarkEnd w:id="122"/>
      <w:bookmarkEnd w:id="123"/>
      <w:bookmarkEnd w:id="124"/>
      <w:bookmarkEnd w:id="125"/>
      <w:bookmarkEnd w:id="126"/>
      <w:bookmarkEnd w:id="127"/>
      <w:bookmarkEnd w:id="128"/>
      <w:bookmarkEnd w:id="129"/>
      <w:bookmarkEnd w:id="130"/>
      <w:bookmarkEnd w:id="131"/>
      <w:bookmarkEnd w:id="132"/>
    </w:p>
    <w:tbl>
      <w:tblPr>
        <w:tblStyle w:val="3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73"/>
        <w:gridCol w:w="3763"/>
        <w:gridCol w:w="1350"/>
        <w:gridCol w:w="1448"/>
      </w:tblGrid>
      <w:tr w14:paraId="317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vAlign w:val="center"/>
          </w:tcPr>
          <w:p w14:paraId="3DEAEEDE">
            <w:pPr>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标段</w:t>
            </w:r>
          </w:p>
        </w:tc>
        <w:tc>
          <w:tcPr>
            <w:tcW w:w="1473" w:type="dxa"/>
            <w:vAlign w:val="center"/>
          </w:tcPr>
          <w:p w14:paraId="3084C8E2">
            <w:pPr>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条款名称</w:t>
            </w:r>
          </w:p>
        </w:tc>
        <w:tc>
          <w:tcPr>
            <w:tcW w:w="3763" w:type="dxa"/>
            <w:vAlign w:val="center"/>
          </w:tcPr>
          <w:p w14:paraId="2DC7C9DB">
            <w:pPr>
              <w:spacing w:line="480" w:lineRule="exact"/>
              <w:jc w:val="left"/>
              <w:rPr>
                <w:rFonts w:ascii="宋体" w:hAnsi="宋体" w:cs="宋体"/>
                <w:color w:val="auto"/>
                <w:sz w:val="24"/>
                <w:highlight w:val="none"/>
              </w:rPr>
            </w:pPr>
            <w:r>
              <w:rPr>
                <w:rFonts w:hint="eastAsia" w:ascii="宋体" w:hAnsi="宋体" w:cs="宋体"/>
                <w:color w:val="auto"/>
                <w:sz w:val="24"/>
                <w:highlight w:val="none"/>
                <w:lang w:eastAsia="zh-CN"/>
              </w:rPr>
              <w:t>征集文件</w:t>
            </w:r>
            <w:r>
              <w:rPr>
                <w:rFonts w:hint="eastAsia" w:ascii="宋体" w:hAnsi="宋体" w:cs="宋体"/>
                <w:color w:val="auto"/>
                <w:sz w:val="24"/>
                <w:highlight w:val="none"/>
              </w:rPr>
              <w:t>要求</w:t>
            </w:r>
          </w:p>
        </w:tc>
        <w:tc>
          <w:tcPr>
            <w:tcW w:w="1350" w:type="dxa"/>
            <w:vAlign w:val="center"/>
          </w:tcPr>
          <w:p w14:paraId="5716101E">
            <w:pPr>
              <w:spacing w:line="480" w:lineRule="exact"/>
              <w:jc w:val="left"/>
              <w:rPr>
                <w:rFonts w:ascii="宋体" w:hAnsi="宋体" w:cs="宋体"/>
                <w:color w:val="auto"/>
                <w:sz w:val="24"/>
                <w:highlight w:val="none"/>
              </w:rPr>
            </w:pPr>
            <w:r>
              <w:rPr>
                <w:rFonts w:hint="eastAsia" w:ascii="宋体" w:hAnsi="宋体" w:cs="宋体"/>
                <w:color w:val="auto"/>
                <w:sz w:val="24"/>
                <w:highlight w:val="none"/>
              </w:rPr>
              <w:t>响应</w:t>
            </w:r>
          </w:p>
        </w:tc>
        <w:tc>
          <w:tcPr>
            <w:tcW w:w="1448" w:type="dxa"/>
            <w:vAlign w:val="center"/>
          </w:tcPr>
          <w:p w14:paraId="54440B45">
            <w:pPr>
              <w:spacing w:line="480" w:lineRule="exact"/>
              <w:jc w:val="left"/>
              <w:rPr>
                <w:rFonts w:ascii="宋体" w:hAnsi="宋体" w:cs="宋体"/>
                <w:color w:val="auto"/>
                <w:sz w:val="24"/>
                <w:highlight w:val="none"/>
              </w:rPr>
            </w:pPr>
            <w:r>
              <w:rPr>
                <w:rFonts w:hint="eastAsia" w:ascii="宋体" w:hAnsi="宋体" w:cs="宋体"/>
                <w:color w:val="auto"/>
                <w:sz w:val="24"/>
                <w:highlight w:val="none"/>
              </w:rPr>
              <w:t>偏离说明</w:t>
            </w:r>
          </w:p>
        </w:tc>
      </w:tr>
      <w:tr w14:paraId="286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6AE5F625">
            <w:pPr>
              <w:spacing w:line="480" w:lineRule="exact"/>
              <w:jc w:val="left"/>
              <w:rPr>
                <w:rFonts w:ascii="宋体" w:hAnsi="宋体" w:cs="宋体"/>
                <w:color w:val="auto"/>
                <w:sz w:val="24"/>
                <w:highlight w:val="none"/>
              </w:rPr>
            </w:pPr>
          </w:p>
        </w:tc>
        <w:tc>
          <w:tcPr>
            <w:tcW w:w="1473" w:type="dxa"/>
          </w:tcPr>
          <w:p w14:paraId="7D78B3D9">
            <w:pPr>
              <w:spacing w:line="480" w:lineRule="exact"/>
              <w:jc w:val="left"/>
              <w:rPr>
                <w:rFonts w:ascii="宋体" w:hAnsi="宋体" w:cs="宋体"/>
                <w:color w:val="auto"/>
                <w:sz w:val="24"/>
                <w:highlight w:val="none"/>
              </w:rPr>
            </w:pPr>
          </w:p>
        </w:tc>
        <w:tc>
          <w:tcPr>
            <w:tcW w:w="3763" w:type="dxa"/>
          </w:tcPr>
          <w:p w14:paraId="7092FCAA">
            <w:pPr>
              <w:spacing w:line="480" w:lineRule="exact"/>
              <w:jc w:val="left"/>
              <w:rPr>
                <w:rFonts w:ascii="宋体" w:hAnsi="宋体" w:cs="宋体"/>
                <w:color w:val="auto"/>
                <w:sz w:val="24"/>
                <w:highlight w:val="none"/>
              </w:rPr>
            </w:pPr>
          </w:p>
        </w:tc>
        <w:tc>
          <w:tcPr>
            <w:tcW w:w="1350" w:type="dxa"/>
          </w:tcPr>
          <w:p w14:paraId="7C260438">
            <w:pPr>
              <w:spacing w:line="480" w:lineRule="exact"/>
              <w:jc w:val="left"/>
              <w:rPr>
                <w:rFonts w:ascii="宋体" w:hAnsi="宋体" w:cs="宋体"/>
                <w:color w:val="auto"/>
                <w:sz w:val="24"/>
                <w:highlight w:val="none"/>
              </w:rPr>
            </w:pPr>
          </w:p>
        </w:tc>
        <w:tc>
          <w:tcPr>
            <w:tcW w:w="1448" w:type="dxa"/>
          </w:tcPr>
          <w:p w14:paraId="5756E699">
            <w:pPr>
              <w:spacing w:line="480" w:lineRule="exact"/>
              <w:jc w:val="left"/>
              <w:rPr>
                <w:rFonts w:ascii="宋体" w:hAnsi="宋体" w:cs="宋体"/>
                <w:color w:val="auto"/>
                <w:sz w:val="24"/>
                <w:highlight w:val="none"/>
              </w:rPr>
            </w:pPr>
          </w:p>
        </w:tc>
      </w:tr>
      <w:tr w14:paraId="2241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0463E1BB">
            <w:pPr>
              <w:spacing w:line="480" w:lineRule="exact"/>
              <w:jc w:val="left"/>
              <w:rPr>
                <w:rFonts w:ascii="宋体" w:hAnsi="宋体" w:cs="宋体"/>
                <w:color w:val="auto"/>
                <w:sz w:val="24"/>
                <w:highlight w:val="none"/>
              </w:rPr>
            </w:pPr>
          </w:p>
        </w:tc>
        <w:tc>
          <w:tcPr>
            <w:tcW w:w="1473" w:type="dxa"/>
          </w:tcPr>
          <w:p w14:paraId="3A23BFB0">
            <w:pPr>
              <w:pStyle w:val="33"/>
              <w:widowControl w:val="0"/>
              <w:spacing w:before="0" w:beforeAutospacing="0" w:after="0" w:afterAutospacing="0" w:line="480" w:lineRule="exact"/>
              <w:rPr>
                <w:rFonts w:ascii="宋体" w:hAnsi="宋体" w:cs="宋体"/>
                <w:color w:val="auto"/>
                <w:sz w:val="24"/>
                <w:highlight w:val="none"/>
              </w:rPr>
            </w:pPr>
          </w:p>
        </w:tc>
        <w:tc>
          <w:tcPr>
            <w:tcW w:w="3763" w:type="dxa"/>
          </w:tcPr>
          <w:p w14:paraId="7CF1CD9D">
            <w:pPr>
              <w:spacing w:line="480" w:lineRule="exact"/>
              <w:jc w:val="left"/>
              <w:rPr>
                <w:rFonts w:ascii="宋体" w:hAnsi="宋体" w:cs="宋体"/>
                <w:color w:val="auto"/>
                <w:sz w:val="24"/>
                <w:highlight w:val="none"/>
              </w:rPr>
            </w:pPr>
          </w:p>
        </w:tc>
        <w:tc>
          <w:tcPr>
            <w:tcW w:w="1350" w:type="dxa"/>
          </w:tcPr>
          <w:p w14:paraId="3A5B8A92">
            <w:pPr>
              <w:spacing w:line="480" w:lineRule="exact"/>
              <w:jc w:val="left"/>
              <w:rPr>
                <w:rFonts w:ascii="宋体" w:hAnsi="宋体" w:cs="宋体"/>
                <w:color w:val="auto"/>
                <w:sz w:val="24"/>
                <w:highlight w:val="none"/>
              </w:rPr>
            </w:pPr>
          </w:p>
        </w:tc>
        <w:tc>
          <w:tcPr>
            <w:tcW w:w="1448" w:type="dxa"/>
          </w:tcPr>
          <w:p w14:paraId="4F4423A4">
            <w:pPr>
              <w:spacing w:line="480" w:lineRule="exact"/>
              <w:jc w:val="left"/>
              <w:rPr>
                <w:rFonts w:ascii="宋体" w:hAnsi="宋体" w:cs="宋体"/>
                <w:color w:val="auto"/>
                <w:sz w:val="24"/>
                <w:highlight w:val="none"/>
              </w:rPr>
            </w:pPr>
          </w:p>
        </w:tc>
      </w:tr>
      <w:tr w14:paraId="11B0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4488DD5D">
            <w:pPr>
              <w:spacing w:line="480" w:lineRule="exact"/>
              <w:jc w:val="left"/>
              <w:rPr>
                <w:rFonts w:ascii="宋体" w:hAnsi="宋体" w:cs="宋体"/>
                <w:color w:val="auto"/>
                <w:sz w:val="24"/>
                <w:highlight w:val="none"/>
              </w:rPr>
            </w:pPr>
          </w:p>
        </w:tc>
        <w:tc>
          <w:tcPr>
            <w:tcW w:w="1473" w:type="dxa"/>
          </w:tcPr>
          <w:p w14:paraId="1E898DAB">
            <w:pPr>
              <w:spacing w:line="480" w:lineRule="exact"/>
              <w:jc w:val="left"/>
              <w:rPr>
                <w:rFonts w:ascii="宋体" w:hAnsi="宋体" w:cs="宋体"/>
                <w:color w:val="auto"/>
                <w:sz w:val="24"/>
                <w:highlight w:val="none"/>
              </w:rPr>
            </w:pPr>
          </w:p>
        </w:tc>
        <w:tc>
          <w:tcPr>
            <w:tcW w:w="3763" w:type="dxa"/>
          </w:tcPr>
          <w:p w14:paraId="6FD313C4">
            <w:pPr>
              <w:spacing w:line="480" w:lineRule="exact"/>
              <w:jc w:val="left"/>
              <w:rPr>
                <w:rFonts w:ascii="宋体" w:hAnsi="宋体" w:cs="宋体"/>
                <w:color w:val="auto"/>
                <w:sz w:val="24"/>
                <w:highlight w:val="none"/>
              </w:rPr>
            </w:pPr>
          </w:p>
        </w:tc>
        <w:tc>
          <w:tcPr>
            <w:tcW w:w="1350" w:type="dxa"/>
          </w:tcPr>
          <w:p w14:paraId="4E75BB87">
            <w:pPr>
              <w:spacing w:line="480" w:lineRule="exact"/>
              <w:jc w:val="left"/>
              <w:rPr>
                <w:rFonts w:ascii="宋体" w:hAnsi="宋体" w:cs="宋体"/>
                <w:color w:val="auto"/>
                <w:sz w:val="24"/>
                <w:highlight w:val="none"/>
              </w:rPr>
            </w:pPr>
          </w:p>
        </w:tc>
        <w:tc>
          <w:tcPr>
            <w:tcW w:w="1448" w:type="dxa"/>
          </w:tcPr>
          <w:p w14:paraId="21A323A9">
            <w:pPr>
              <w:spacing w:line="480" w:lineRule="exact"/>
              <w:jc w:val="left"/>
              <w:rPr>
                <w:rFonts w:ascii="宋体" w:hAnsi="宋体" w:cs="宋体"/>
                <w:color w:val="auto"/>
                <w:sz w:val="24"/>
                <w:highlight w:val="none"/>
              </w:rPr>
            </w:pPr>
          </w:p>
        </w:tc>
      </w:tr>
      <w:tr w14:paraId="3B80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1190ACDD">
            <w:pPr>
              <w:spacing w:line="480" w:lineRule="exact"/>
              <w:jc w:val="left"/>
              <w:rPr>
                <w:rFonts w:ascii="宋体" w:hAnsi="宋体" w:cs="宋体"/>
                <w:color w:val="auto"/>
                <w:sz w:val="24"/>
                <w:highlight w:val="none"/>
              </w:rPr>
            </w:pPr>
          </w:p>
        </w:tc>
        <w:tc>
          <w:tcPr>
            <w:tcW w:w="1473" w:type="dxa"/>
          </w:tcPr>
          <w:p w14:paraId="65BA3862">
            <w:pPr>
              <w:spacing w:line="480" w:lineRule="exact"/>
              <w:jc w:val="left"/>
              <w:rPr>
                <w:rFonts w:ascii="宋体" w:hAnsi="宋体" w:cs="宋体"/>
                <w:color w:val="auto"/>
                <w:sz w:val="24"/>
                <w:highlight w:val="none"/>
              </w:rPr>
            </w:pPr>
          </w:p>
        </w:tc>
        <w:tc>
          <w:tcPr>
            <w:tcW w:w="3763" w:type="dxa"/>
          </w:tcPr>
          <w:p w14:paraId="5936C607">
            <w:pPr>
              <w:spacing w:line="480" w:lineRule="exact"/>
              <w:jc w:val="left"/>
              <w:rPr>
                <w:rFonts w:ascii="宋体" w:hAnsi="宋体" w:cs="宋体"/>
                <w:color w:val="auto"/>
                <w:sz w:val="24"/>
                <w:highlight w:val="none"/>
              </w:rPr>
            </w:pPr>
          </w:p>
        </w:tc>
        <w:tc>
          <w:tcPr>
            <w:tcW w:w="1350" w:type="dxa"/>
          </w:tcPr>
          <w:p w14:paraId="1F1757D3">
            <w:pPr>
              <w:spacing w:line="480" w:lineRule="exact"/>
              <w:jc w:val="left"/>
              <w:rPr>
                <w:rFonts w:ascii="宋体" w:hAnsi="宋体" w:cs="宋体"/>
                <w:color w:val="auto"/>
                <w:sz w:val="24"/>
                <w:highlight w:val="none"/>
              </w:rPr>
            </w:pPr>
          </w:p>
        </w:tc>
        <w:tc>
          <w:tcPr>
            <w:tcW w:w="1448" w:type="dxa"/>
          </w:tcPr>
          <w:p w14:paraId="42D1E32E">
            <w:pPr>
              <w:spacing w:line="480" w:lineRule="exact"/>
              <w:jc w:val="left"/>
              <w:rPr>
                <w:rFonts w:ascii="宋体" w:hAnsi="宋体" w:cs="宋体"/>
                <w:color w:val="auto"/>
                <w:sz w:val="24"/>
                <w:highlight w:val="none"/>
              </w:rPr>
            </w:pPr>
          </w:p>
        </w:tc>
      </w:tr>
      <w:tr w14:paraId="64F4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4BA7D15F">
            <w:pPr>
              <w:spacing w:line="480" w:lineRule="exact"/>
              <w:jc w:val="left"/>
              <w:rPr>
                <w:rFonts w:ascii="宋体" w:hAnsi="宋体" w:cs="宋体"/>
                <w:color w:val="auto"/>
                <w:sz w:val="24"/>
                <w:highlight w:val="none"/>
              </w:rPr>
            </w:pPr>
          </w:p>
        </w:tc>
        <w:tc>
          <w:tcPr>
            <w:tcW w:w="1473" w:type="dxa"/>
          </w:tcPr>
          <w:p w14:paraId="0EB36FAC">
            <w:pPr>
              <w:spacing w:line="480" w:lineRule="exact"/>
              <w:jc w:val="left"/>
              <w:rPr>
                <w:rFonts w:ascii="宋体" w:hAnsi="宋体" w:cs="宋体"/>
                <w:color w:val="auto"/>
                <w:sz w:val="24"/>
                <w:highlight w:val="none"/>
              </w:rPr>
            </w:pPr>
          </w:p>
        </w:tc>
        <w:tc>
          <w:tcPr>
            <w:tcW w:w="3763" w:type="dxa"/>
          </w:tcPr>
          <w:p w14:paraId="0AC8A73F">
            <w:pPr>
              <w:spacing w:line="480" w:lineRule="exact"/>
              <w:jc w:val="left"/>
              <w:rPr>
                <w:rFonts w:ascii="宋体" w:hAnsi="宋体" w:cs="宋体"/>
                <w:color w:val="auto"/>
                <w:sz w:val="24"/>
                <w:highlight w:val="none"/>
              </w:rPr>
            </w:pPr>
          </w:p>
        </w:tc>
        <w:tc>
          <w:tcPr>
            <w:tcW w:w="1350" w:type="dxa"/>
          </w:tcPr>
          <w:p w14:paraId="0F2998B7">
            <w:pPr>
              <w:spacing w:line="480" w:lineRule="exact"/>
              <w:jc w:val="left"/>
              <w:rPr>
                <w:rFonts w:ascii="宋体" w:hAnsi="宋体" w:cs="宋体"/>
                <w:color w:val="auto"/>
                <w:sz w:val="24"/>
                <w:highlight w:val="none"/>
              </w:rPr>
            </w:pPr>
          </w:p>
        </w:tc>
        <w:tc>
          <w:tcPr>
            <w:tcW w:w="1448" w:type="dxa"/>
          </w:tcPr>
          <w:p w14:paraId="3F14C186">
            <w:pPr>
              <w:spacing w:line="480" w:lineRule="exact"/>
              <w:jc w:val="left"/>
              <w:rPr>
                <w:rFonts w:ascii="宋体" w:hAnsi="宋体" w:cs="宋体"/>
                <w:color w:val="auto"/>
                <w:sz w:val="24"/>
                <w:highlight w:val="none"/>
              </w:rPr>
            </w:pPr>
          </w:p>
        </w:tc>
      </w:tr>
      <w:tr w14:paraId="5C9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2DB6C5F8">
            <w:pPr>
              <w:spacing w:line="480" w:lineRule="exact"/>
              <w:jc w:val="left"/>
              <w:rPr>
                <w:rFonts w:ascii="宋体" w:hAnsi="宋体" w:cs="宋体"/>
                <w:color w:val="auto"/>
                <w:sz w:val="24"/>
                <w:highlight w:val="none"/>
              </w:rPr>
            </w:pPr>
          </w:p>
        </w:tc>
        <w:tc>
          <w:tcPr>
            <w:tcW w:w="1473" w:type="dxa"/>
          </w:tcPr>
          <w:p w14:paraId="23692D3F">
            <w:pPr>
              <w:spacing w:line="480" w:lineRule="exact"/>
              <w:jc w:val="left"/>
              <w:rPr>
                <w:rFonts w:hint="eastAsia" w:cs="宋体"/>
                <w:b/>
                <w:bCs/>
                <w:color w:val="auto"/>
                <w:highlight w:val="none"/>
                <w:shd w:val="clear" w:color="auto" w:fill="FFFFFF"/>
              </w:rPr>
            </w:pPr>
          </w:p>
        </w:tc>
        <w:tc>
          <w:tcPr>
            <w:tcW w:w="3763" w:type="dxa"/>
          </w:tcPr>
          <w:p w14:paraId="1DAE40DF">
            <w:pPr>
              <w:spacing w:line="480" w:lineRule="exact"/>
              <w:jc w:val="left"/>
              <w:rPr>
                <w:rFonts w:ascii="宋体" w:hAnsi="宋体" w:cs="宋体"/>
                <w:color w:val="auto"/>
                <w:sz w:val="24"/>
                <w:highlight w:val="none"/>
              </w:rPr>
            </w:pPr>
          </w:p>
        </w:tc>
        <w:tc>
          <w:tcPr>
            <w:tcW w:w="1350" w:type="dxa"/>
          </w:tcPr>
          <w:p w14:paraId="3778BCF1">
            <w:pPr>
              <w:spacing w:line="480" w:lineRule="exact"/>
              <w:jc w:val="left"/>
              <w:rPr>
                <w:rFonts w:ascii="宋体" w:hAnsi="宋体" w:cs="宋体"/>
                <w:color w:val="auto"/>
                <w:sz w:val="24"/>
                <w:highlight w:val="none"/>
              </w:rPr>
            </w:pPr>
          </w:p>
        </w:tc>
        <w:tc>
          <w:tcPr>
            <w:tcW w:w="1448" w:type="dxa"/>
          </w:tcPr>
          <w:p w14:paraId="73FA0655">
            <w:pPr>
              <w:spacing w:line="480" w:lineRule="exact"/>
              <w:jc w:val="left"/>
              <w:rPr>
                <w:rFonts w:ascii="宋体" w:hAnsi="宋体" w:cs="宋体"/>
                <w:color w:val="auto"/>
                <w:sz w:val="24"/>
                <w:highlight w:val="none"/>
              </w:rPr>
            </w:pPr>
          </w:p>
        </w:tc>
      </w:tr>
      <w:tr w14:paraId="7563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6DA3B9BA">
            <w:pPr>
              <w:spacing w:line="480" w:lineRule="exact"/>
              <w:jc w:val="left"/>
              <w:rPr>
                <w:rFonts w:ascii="宋体" w:hAnsi="宋体" w:cs="宋体"/>
                <w:color w:val="auto"/>
                <w:sz w:val="24"/>
                <w:highlight w:val="none"/>
              </w:rPr>
            </w:pPr>
          </w:p>
        </w:tc>
        <w:tc>
          <w:tcPr>
            <w:tcW w:w="1473" w:type="dxa"/>
          </w:tcPr>
          <w:p w14:paraId="1A4E2A2E">
            <w:pPr>
              <w:spacing w:line="480" w:lineRule="exact"/>
              <w:jc w:val="left"/>
              <w:rPr>
                <w:rFonts w:hint="eastAsia" w:cs="宋体"/>
                <w:b/>
                <w:bCs/>
                <w:color w:val="auto"/>
                <w:highlight w:val="none"/>
                <w:shd w:val="clear" w:color="auto" w:fill="FFFFFF"/>
              </w:rPr>
            </w:pPr>
          </w:p>
        </w:tc>
        <w:tc>
          <w:tcPr>
            <w:tcW w:w="3763" w:type="dxa"/>
          </w:tcPr>
          <w:p w14:paraId="0CDB5C5C">
            <w:pPr>
              <w:spacing w:line="480" w:lineRule="exact"/>
              <w:jc w:val="left"/>
              <w:rPr>
                <w:rFonts w:ascii="宋体" w:hAnsi="宋体" w:cs="宋体"/>
                <w:color w:val="auto"/>
                <w:sz w:val="24"/>
                <w:highlight w:val="none"/>
              </w:rPr>
            </w:pPr>
          </w:p>
        </w:tc>
        <w:tc>
          <w:tcPr>
            <w:tcW w:w="1350" w:type="dxa"/>
          </w:tcPr>
          <w:p w14:paraId="1971567C">
            <w:pPr>
              <w:spacing w:line="480" w:lineRule="exact"/>
              <w:jc w:val="left"/>
              <w:rPr>
                <w:rFonts w:ascii="宋体" w:hAnsi="宋体" w:cs="宋体"/>
                <w:color w:val="auto"/>
                <w:sz w:val="24"/>
                <w:highlight w:val="none"/>
              </w:rPr>
            </w:pPr>
          </w:p>
        </w:tc>
        <w:tc>
          <w:tcPr>
            <w:tcW w:w="1448" w:type="dxa"/>
          </w:tcPr>
          <w:p w14:paraId="2ECDA600">
            <w:pPr>
              <w:spacing w:line="480" w:lineRule="exact"/>
              <w:jc w:val="left"/>
              <w:rPr>
                <w:rFonts w:ascii="宋体" w:hAnsi="宋体" w:cs="宋体"/>
                <w:color w:val="auto"/>
                <w:sz w:val="24"/>
                <w:highlight w:val="none"/>
              </w:rPr>
            </w:pPr>
          </w:p>
        </w:tc>
      </w:tr>
    </w:tbl>
    <w:p w14:paraId="5AFAB08F">
      <w:pPr>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t>注：</w:t>
      </w: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提交的</w:t>
      </w:r>
      <w:r>
        <w:rPr>
          <w:rFonts w:hint="eastAsia" w:ascii="宋体" w:hAnsi="宋体" w:cs="宋体"/>
          <w:color w:val="auto"/>
          <w:kern w:val="0"/>
          <w:sz w:val="24"/>
          <w:highlight w:val="none"/>
          <w:lang w:eastAsia="zh-CN"/>
        </w:rPr>
        <w:t>申请文件</w:t>
      </w:r>
      <w:r>
        <w:rPr>
          <w:rFonts w:hint="eastAsia" w:ascii="宋体" w:hAnsi="宋体" w:cs="宋体"/>
          <w:color w:val="auto"/>
          <w:kern w:val="0"/>
          <w:sz w:val="24"/>
          <w:highlight w:val="none"/>
        </w:rPr>
        <w:t>中对</w:t>
      </w:r>
      <w:r>
        <w:rPr>
          <w:rFonts w:hint="eastAsia" w:ascii="宋体" w:hAnsi="宋体" w:cs="宋体"/>
          <w:color w:val="auto"/>
          <w:kern w:val="0"/>
          <w:sz w:val="24"/>
          <w:highlight w:val="none"/>
          <w:lang w:eastAsia="zh-CN"/>
        </w:rPr>
        <w:t>征集文件</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第三章“征集内容及要求”的各条（款）的要求逐条（款）</w:t>
      </w:r>
      <w:r>
        <w:rPr>
          <w:rFonts w:hint="eastAsia" w:ascii="宋体" w:hAnsi="宋体" w:cs="宋体"/>
          <w:color w:val="auto"/>
          <w:kern w:val="0"/>
          <w:sz w:val="24"/>
          <w:highlight w:val="none"/>
        </w:rPr>
        <w:t>响应，应在本表中把</w:t>
      </w:r>
      <w:r>
        <w:rPr>
          <w:rFonts w:hint="eastAsia" w:ascii="宋体" w:hAnsi="宋体" w:cs="宋体"/>
          <w:color w:val="auto"/>
          <w:kern w:val="0"/>
          <w:sz w:val="24"/>
          <w:highlight w:val="none"/>
          <w:lang w:eastAsia="zh-CN"/>
        </w:rPr>
        <w:t>征集文件</w:t>
      </w:r>
      <w:r>
        <w:rPr>
          <w:rFonts w:hint="eastAsia" w:ascii="宋体" w:hAnsi="宋体" w:cs="宋体"/>
          <w:color w:val="auto"/>
          <w:kern w:val="0"/>
          <w:sz w:val="24"/>
          <w:highlight w:val="none"/>
        </w:rPr>
        <w:t>要求与投标实际响应内容对应列出，并在“偏离说明”项下填写以下内容：优于的，填写“正偏离”；符合的，填写“无偏离”；低于的，填写“负偏离”。</w:t>
      </w:r>
      <w:r>
        <w:rPr>
          <w:rFonts w:hint="eastAsia" w:ascii="宋体" w:hAnsi="宋体" w:cs="宋体"/>
          <w:b/>
          <w:bCs/>
          <w:color w:val="auto"/>
          <w:kern w:val="0"/>
          <w:sz w:val="24"/>
          <w:highlight w:val="none"/>
        </w:rPr>
        <w:t>若有负偏离而未如实填写的将视为虚假应标</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若未详细填写，视为无效响应。</w:t>
      </w:r>
    </w:p>
    <w:p w14:paraId="2B49D027">
      <w:pPr>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（2）若事项较多，</w:t>
      </w: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可根据投标内容的实际情况另纸说明。</w:t>
      </w:r>
    </w:p>
    <w:p w14:paraId="30CDA4C8">
      <w:pPr>
        <w:spacing w:line="480" w:lineRule="exact"/>
        <w:jc w:val="left"/>
        <w:rPr>
          <w:rFonts w:ascii="宋体" w:hAnsi="宋体" w:cs="宋体"/>
          <w:color w:val="auto"/>
          <w:kern w:val="0"/>
          <w:sz w:val="24"/>
          <w:highlight w:val="none"/>
        </w:rPr>
      </w:pPr>
    </w:p>
    <w:p w14:paraId="18D1A5A0">
      <w:pPr>
        <w:spacing w:line="480" w:lineRule="exact"/>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u w:val="single"/>
        </w:rPr>
        <w:t xml:space="preserve">            </w:t>
      </w:r>
    </w:p>
    <w:p w14:paraId="1A0FFF2E">
      <w:pPr>
        <w:spacing w:line="312" w:lineRule="auto"/>
        <w:jc w:val="left"/>
        <w:rPr>
          <w:rFonts w:ascii="宋体" w:hAnsi="宋体" w:cs="宋体"/>
          <w:color w:val="auto"/>
          <w:kern w:val="0"/>
          <w:sz w:val="24"/>
          <w:highlight w:val="none"/>
          <w:u w:val="single"/>
        </w:rPr>
      </w:pPr>
    </w:p>
    <w:p w14:paraId="0B009587">
      <w:pPr>
        <w:spacing w:line="312" w:lineRule="auto"/>
        <w:jc w:val="left"/>
        <w:rPr>
          <w:rFonts w:ascii="宋体" w:hAnsi="宋体" w:cs="宋体"/>
          <w:b/>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15D0E038">
      <w:pPr>
        <w:spacing w:line="440" w:lineRule="exact"/>
        <w:jc w:val="center"/>
        <w:outlineLvl w:val="1"/>
        <w:rPr>
          <w:b/>
          <w:bCs/>
          <w:color w:val="auto"/>
          <w:kern w:val="0"/>
          <w:sz w:val="24"/>
          <w:szCs w:val="24"/>
        </w:rPr>
      </w:pPr>
      <w:bookmarkStart w:id="133" w:name="_Toc27637"/>
      <w:bookmarkStart w:id="134" w:name="_Toc6197"/>
      <w:bookmarkStart w:id="135" w:name="_Toc16583"/>
      <w:bookmarkStart w:id="136" w:name="_Toc27752"/>
      <w:bookmarkStart w:id="137" w:name="_Toc30922"/>
      <w:bookmarkStart w:id="138" w:name="_Toc17038"/>
      <w:bookmarkStart w:id="139" w:name="_Toc4285"/>
      <w:bookmarkStart w:id="140" w:name="_Toc18832"/>
      <w:bookmarkStart w:id="141" w:name="_Toc997"/>
      <w:bookmarkStart w:id="142" w:name="_Toc26566"/>
      <w:bookmarkStart w:id="143" w:name="_Toc9184"/>
      <w:bookmarkStart w:id="144" w:name="_Toc20065"/>
      <w:r>
        <w:rPr>
          <w:rFonts w:hint="eastAsia"/>
          <w:b/>
          <w:bCs/>
          <w:color w:val="auto"/>
          <w:kern w:val="0"/>
          <w:sz w:val="24"/>
          <w:szCs w:val="24"/>
          <w:lang w:eastAsia="zh-CN"/>
        </w:rPr>
        <w:t>五、服务商</w:t>
      </w:r>
      <w:r>
        <w:rPr>
          <w:rFonts w:hint="eastAsia"/>
          <w:b/>
          <w:bCs/>
          <w:color w:val="auto"/>
          <w:kern w:val="0"/>
          <w:sz w:val="24"/>
          <w:szCs w:val="24"/>
        </w:rPr>
        <w:t>提交的其它资料</w:t>
      </w:r>
      <w:bookmarkEnd w:id="133"/>
      <w:bookmarkEnd w:id="134"/>
      <w:bookmarkEnd w:id="135"/>
      <w:bookmarkEnd w:id="136"/>
      <w:bookmarkEnd w:id="137"/>
      <w:bookmarkEnd w:id="138"/>
      <w:bookmarkEnd w:id="139"/>
      <w:bookmarkEnd w:id="140"/>
      <w:bookmarkEnd w:id="141"/>
      <w:bookmarkEnd w:id="142"/>
      <w:bookmarkEnd w:id="143"/>
      <w:bookmarkEnd w:id="144"/>
    </w:p>
    <w:p w14:paraId="12C39CA1">
      <w:pPr>
        <w:spacing w:line="312" w:lineRule="auto"/>
        <w:jc w:val="left"/>
        <w:rPr>
          <w:rFonts w:ascii="宋体" w:hAnsi="宋体" w:cs="宋体"/>
          <w:b/>
          <w:color w:val="auto"/>
          <w:sz w:val="24"/>
          <w:highlight w:val="none"/>
        </w:rPr>
      </w:pPr>
      <w:r>
        <w:rPr>
          <w:rFonts w:hint="eastAsia" w:ascii="宋体" w:hAnsi="宋体" w:cs="宋体"/>
          <w:b/>
          <w:color w:val="auto"/>
          <w:sz w:val="24"/>
          <w:highlight w:val="none"/>
        </w:rPr>
        <w:t xml:space="preserve">   </w:t>
      </w:r>
    </w:p>
    <w:p w14:paraId="73111A88">
      <w:pPr>
        <w:numPr>
          <w:ilvl w:val="0"/>
          <w:numId w:val="8"/>
        </w:numPr>
        <w:spacing w:line="48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征集文件要求的其它资料（包括但不限于第三章第三点要求的各项响应资料）。</w:t>
      </w:r>
    </w:p>
    <w:p w14:paraId="6FAF757B">
      <w:pPr>
        <w:spacing w:line="312"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2、算力及AI Token报价响应表</w:t>
      </w:r>
    </w:p>
    <w:p w14:paraId="33D3E844">
      <w:pPr>
        <w:pStyle w:val="2"/>
        <w:rPr>
          <w:color w:val="auto"/>
        </w:rPr>
      </w:pPr>
    </w:p>
    <w:p w14:paraId="401E4C53">
      <w:pPr>
        <w:spacing w:line="312" w:lineRule="auto"/>
        <w:jc w:val="left"/>
        <w:rPr>
          <w:rFonts w:ascii="宋体" w:hAnsi="宋体" w:cs="宋体"/>
          <w:color w:val="auto"/>
          <w:sz w:val="24"/>
          <w:highlight w:val="none"/>
        </w:rPr>
      </w:pPr>
    </w:p>
    <w:p w14:paraId="220D5443">
      <w:pPr>
        <w:spacing w:line="312" w:lineRule="auto"/>
        <w:jc w:val="left"/>
        <w:rPr>
          <w:rFonts w:ascii="宋体" w:hAnsi="宋体" w:cs="宋体"/>
          <w:color w:val="auto"/>
          <w:sz w:val="24"/>
          <w:highlight w:val="none"/>
        </w:rPr>
      </w:pPr>
    </w:p>
    <w:p w14:paraId="4712FC97">
      <w:pPr>
        <w:spacing w:line="312" w:lineRule="auto"/>
        <w:jc w:val="left"/>
        <w:rPr>
          <w:rFonts w:ascii="宋体" w:hAnsi="宋体" w:cs="宋体"/>
          <w:color w:val="auto"/>
          <w:sz w:val="24"/>
          <w:highlight w:val="none"/>
        </w:rPr>
      </w:pPr>
    </w:p>
    <w:p w14:paraId="797E74DE">
      <w:pPr>
        <w:spacing w:line="312" w:lineRule="auto"/>
        <w:jc w:val="left"/>
        <w:rPr>
          <w:rFonts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8A6DF05">
      <w:pPr>
        <w:spacing w:line="312" w:lineRule="auto"/>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14:paraId="50B464F9">
      <w:pPr>
        <w:spacing w:line="312"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60E652C">
      <w:pPr>
        <w:pStyle w:val="2"/>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2D323C4">
      <w:pPr>
        <w:spacing w:line="440" w:lineRule="exact"/>
        <w:jc w:val="center"/>
        <w:rPr>
          <w:rFonts w:hint="eastAsia"/>
          <w:b/>
          <w:bCs/>
          <w:color w:val="auto"/>
          <w:kern w:val="0"/>
          <w:sz w:val="24"/>
          <w:szCs w:val="24"/>
          <w:lang w:eastAsia="zh-CN"/>
        </w:rPr>
      </w:pPr>
      <w:bookmarkStart w:id="145" w:name="_Toc27605"/>
      <w:r>
        <w:rPr>
          <w:rFonts w:hint="eastAsia"/>
          <w:b/>
          <w:bCs/>
          <w:color w:val="auto"/>
          <w:kern w:val="0"/>
          <w:sz w:val="24"/>
          <w:szCs w:val="24"/>
          <w:lang w:eastAsia="zh-CN"/>
        </w:rPr>
        <w:t>算力及AI Token报价响应表</w:t>
      </w:r>
      <w:bookmarkEnd w:id="145"/>
    </w:p>
    <w:p w14:paraId="0FC2CC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bookmarkStart w:id="146" w:name="heading_17"/>
      <w:r>
        <w:rPr>
          <w:rFonts w:hint="eastAsia" w:asciiTheme="minorEastAsia" w:hAnsiTheme="minorEastAsia" w:eastAsiaTheme="minorEastAsia" w:cstheme="minorEastAsia"/>
          <w:sz w:val="24"/>
          <w:szCs w:val="24"/>
        </w:rPr>
        <w:t>一、填报说明</w:t>
      </w:r>
      <w:bookmarkEnd w:id="146"/>
    </w:p>
    <w:p w14:paraId="5078BC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1.本次入围征集不设置用量档位、不采取阶梯报价，</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需如实填报自有算力资源服务、AI Token 资源服务对应的含税目录单价及折扣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报价及优惠</w:t>
      </w:r>
      <w:r>
        <w:rPr>
          <w:rFonts w:hint="eastAsia" w:asciiTheme="minorEastAsia" w:hAnsiTheme="minorEastAsia" w:eastAsiaTheme="minorEastAsia" w:cstheme="minorEastAsia"/>
          <w:sz w:val="24"/>
          <w:szCs w:val="24"/>
        </w:rPr>
        <w:t>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纳入采购人入围库进行管理，作为后续二次竞价基础依据。</w:t>
      </w:r>
    </w:p>
    <w:p w14:paraId="616513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2.本报价为含税全包价，包含资源使用费、接口服务费、技术调试、运维、人工、税金、售后、版本迭代等全部费用，本框架采购有效期内若无双方书面约定，</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不得擅自上调价格。</w:t>
      </w:r>
    </w:p>
    <w:p w14:paraId="3A7753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3.后续采购人根据具体业务需求将开展二次竞价，择优合作。</w:t>
      </w:r>
    </w:p>
    <w:p w14:paraId="0F9EF8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4.结算方式：按实际使用量按月对账、按月结算。</w:t>
      </w:r>
    </w:p>
    <w:p w14:paraId="32D646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5.本项目报价优惠折扣率区间：0%≤折扣率≤100%，示例：含税目录单价为100元，报价优惠折扣率为：30%，则入围单价为100元*（1-30%）=70元</w:t>
      </w:r>
      <w:r>
        <w:rPr>
          <w:rFonts w:hint="eastAsia" w:asciiTheme="minorEastAsia" w:hAnsiTheme="minorEastAsia" w:eastAsiaTheme="minorEastAsia" w:cstheme="minorEastAsia"/>
          <w:sz w:val="24"/>
          <w:szCs w:val="24"/>
          <w:lang w:eastAsia="zh-CN"/>
        </w:rPr>
        <w:t>。</w:t>
      </w:r>
    </w:p>
    <w:p w14:paraId="2CD0425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.本表须加盖单位公章，否则视为无效响应材料。</w:t>
      </w:r>
      <w:bookmarkStart w:id="147" w:name="heading_18"/>
    </w:p>
    <w:p w14:paraId="6E21191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outlineLvl w:val="1"/>
        <w:rPr>
          <w:rFonts w:hint="eastAsia" w:asciiTheme="minorEastAsia" w:hAnsiTheme="minorEastAsia" w:eastAsiaTheme="minorEastAsia" w:cstheme="minorEastAsia"/>
          <w:b/>
          <w:bCs/>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48" w:name="_Toc16349"/>
    </w:p>
    <w:p w14:paraId="0DC768DA">
      <w:pPr>
        <w:spacing w:line="440" w:lineRule="exact"/>
        <w:jc w:val="center"/>
        <w:rPr>
          <w:rFonts w:hint="eastAsia"/>
          <w:b/>
          <w:bCs/>
          <w:color w:val="auto"/>
          <w:kern w:val="0"/>
          <w:sz w:val="24"/>
          <w:szCs w:val="24"/>
          <w:lang w:eastAsia="zh-CN"/>
        </w:rPr>
      </w:pPr>
      <w:r>
        <w:rPr>
          <w:rFonts w:hint="eastAsia"/>
          <w:b/>
          <w:bCs/>
          <w:color w:val="auto"/>
          <w:kern w:val="0"/>
          <w:sz w:val="24"/>
          <w:szCs w:val="24"/>
          <w:lang w:eastAsia="zh-CN"/>
        </w:rPr>
        <w:t>（一）报价响应表</w:t>
      </w:r>
      <w:bookmarkEnd w:id="147"/>
      <w:r>
        <w:rPr>
          <w:rFonts w:hint="eastAsia"/>
          <w:b/>
          <w:bCs/>
          <w:color w:val="auto"/>
          <w:kern w:val="0"/>
          <w:sz w:val="24"/>
          <w:szCs w:val="24"/>
          <w:lang w:eastAsia="zh-CN"/>
        </w:rPr>
        <w:t>（标段1：福建省内本地算力资源服务、标段2：福建省外跨区域算力资源服务）</w:t>
      </w:r>
      <w:bookmarkEnd w:id="148"/>
    </w:p>
    <w:p w14:paraId="0E144074">
      <w:pPr>
        <w:spacing w:before="120" w:after="120" w:line="288" w:lineRule="auto"/>
        <w:ind w:left="479" w:leftChars="228"/>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服务商</w:t>
      </w:r>
      <w:r>
        <w:rPr>
          <w:rFonts w:hint="eastAsia" w:asciiTheme="majorEastAsia" w:hAnsiTheme="majorEastAsia" w:eastAsiaTheme="majorEastAsia" w:cstheme="majorEastAsia"/>
          <w:sz w:val="24"/>
          <w:szCs w:val="24"/>
          <w:highlight w:val="none"/>
        </w:rPr>
        <w:t>名称（盖章）：</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报名品目：□省外跨区域算力  □省内本地算力</w:t>
      </w:r>
    </w:p>
    <w:tbl>
      <w:tblPr>
        <w:tblStyle w:val="38"/>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
        <w:gridCol w:w="1275"/>
        <w:gridCol w:w="1425"/>
        <w:gridCol w:w="1808"/>
        <w:gridCol w:w="817"/>
        <w:gridCol w:w="1075"/>
        <w:gridCol w:w="1035"/>
        <w:gridCol w:w="1016"/>
      </w:tblGrid>
      <w:tr w14:paraId="5A22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2" w:hRule="atLeast"/>
        </w:trPr>
        <w:tc>
          <w:tcPr>
            <w:tcW w:w="492" w:type="dxa"/>
            <w:tcMar>
              <w:top w:w="60" w:type="dxa"/>
              <w:left w:w="120" w:type="dxa"/>
              <w:bottom w:w="30" w:type="dxa"/>
              <w:right w:w="120" w:type="dxa"/>
            </w:tcMar>
            <w:vAlign w:val="center"/>
          </w:tcPr>
          <w:p w14:paraId="5084C6F3">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序号</w:t>
            </w:r>
          </w:p>
        </w:tc>
        <w:tc>
          <w:tcPr>
            <w:tcW w:w="1275" w:type="dxa"/>
            <w:tcMar>
              <w:top w:w="60" w:type="dxa"/>
              <w:left w:w="120" w:type="dxa"/>
              <w:bottom w:w="30" w:type="dxa"/>
              <w:right w:w="120" w:type="dxa"/>
            </w:tcMar>
            <w:vAlign w:val="center"/>
          </w:tcPr>
          <w:p w14:paraId="3A93E7F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算力资源类型</w:t>
            </w:r>
          </w:p>
        </w:tc>
        <w:tc>
          <w:tcPr>
            <w:tcW w:w="1425" w:type="dxa"/>
            <w:tcMar>
              <w:top w:w="60" w:type="dxa"/>
              <w:left w:w="120" w:type="dxa"/>
              <w:bottom w:w="30" w:type="dxa"/>
              <w:right w:w="120" w:type="dxa"/>
            </w:tcMar>
            <w:vAlign w:val="center"/>
          </w:tcPr>
          <w:p w14:paraId="6F79C2C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规格说明</w:t>
            </w:r>
          </w:p>
        </w:tc>
        <w:tc>
          <w:tcPr>
            <w:tcW w:w="1808" w:type="dxa"/>
            <w:tcMar>
              <w:top w:w="60" w:type="dxa"/>
              <w:left w:w="120" w:type="dxa"/>
              <w:bottom w:w="30" w:type="dxa"/>
              <w:right w:w="120" w:type="dxa"/>
            </w:tcMar>
            <w:vAlign w:val="center"/>
          </w:tcPr>
          <w:p w14:paraId="4E454032">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基本配置及要求</w:t>
            </w:r>
          </w:p>
        </w:tc>
        <w:tc>
          <w:tcPr>
            <w:tcW w:w="817" w:type="dxa"/>
            <w:tcMar>
              <w:top w:w="60" w:type="dxa"/>
              <w:left w:w="120" w:type="dxa"/>
              <w:bottom w:w="30" w:type="dxa"/>
              <w:right w:w="120" w:type="dxa"/>
            </w:tcMar>
            <w:vAlign w:val="center"/>
          </w:tcPr>
          <w:p w14:paraId="5572C3A2">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计价单位</w:t>
            </w:r>
          </w:p>
        </w:tc>
        <w:tc>
          <w:tcPr>
            <w:tcW w:w="1075" w:type="dxa"/>
            <w:tcMar>
              <w:top w:w="60" w:type="dxa"/>
              <w:left w:w="120" w:type="dxa"/>
              <w:bottom w:w="30" w:type="dxa"/>
              <w:right w:w="120" w:type="dxa"/>
            </w:tcMar>
            <w:vAlign w:val="center"/>
          </w:tcPr>
          <w:p w14:paraId="731894F7">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含税目录单价（元）</w:t>
            </w:r>
          </w:p>
        </w:tc>
        <w:tc>
          <w:tcPr>
            <w:tcW w:w="1035" w:type="dxa"/>
            <w:tcMar>
              <w:top w:w="60" w:type="dxa"/>
              <w:left w:w="120" w:type="dxa"/>
              <w:bottom w:w="30" w:type="dxa"/>
              <w:right w:w="120" w:type="dxa"/>
            </w:tcMar>
            <w:vAlign w:val="center"/>
          </w:tcPr>
          <w:p w14:paraId="4DF5F81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报价优惠折扣率（%）</w:t>
            </w:r>
          </w:p>
        </w:tc>
        <w:tc>
          <w:tcPr>
            <w:tcW w:w="1016" w:type="dxa"/>
            <w:tcMar>
              <w:top w:w="60" w:type="dxa"/>
              <w:left w:w="120" w:type="dxa"/>
              <w:bottom w:w="30" w:type="dxa"/>
              <w:right w:w="120" w:type="dxa"/>
            </w:tcMar>
            <w:vAlign w:val="center"/>
          </w:tcPr>
          <w:p w14:paraId="1E6A678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备注</w:t>
            </w:r>
          </w:p>
        </w:tc>
      </w:tr>
      <w:tr w14:paraId="7491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74E1426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1</w:t>
            </w:r>
          </w:p>
        </w:tc>
        <w:tc>
          <w:tcPr>
            <w:tcW w:w="1275" w:type="dxa"/>
            <w:vMerge w:val="restart"/>
            <w:tcMar>
              <w:top w:w="60" w:type="dxa"/>
              <w:left w:w="120" w:type="dxa"/>
              <w:bottom w:w="30" w:type="dxa"/>
              <w:right w:w="120" w:type="dxa"/>
            </w:tcMar>
            <w:vAlign w:val="center"/>
          </w:tcPr>
          <w:p w14:paraId="02339F5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高端AI训练/推理算力</w:t>
            </w:r>
          </w:p>
        </w:tc>
        <w:tc>
          <w:tcPr>
            <w:tcW w:w="1425" w:type="dxa"/>
            <w:tcMar>
              <w:top w:w="60" w:type="dxa"/>
              <w:left w:w="120" w:type="dxa"/>
              <w:bottom w:w="30" w:type="dxa"/>
              <w:right w:w="120" w:type="dxa"/>
            </w:tcMar>
            <w:vAlign w:val="center"/>
          </w:tcPr>
          <w:p w14:paraId="5A3506C8">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szCs w:val="24"/>
                <w:highlight w:val="none"/>
              </w:rPr>
              <w:t xml:space="preserve">NVIDIA </w:t>
            </w:r>
            <w:r>
              <w:rPr>
                <w:rFonts w:hint="eastAsia" w:asciiTheme="majorEastAsia" w:hAnsiTheme="majorEastAsia" w:eastAsiaTheme="majorEastAsia" w:cstheme="majorEastAsia"/>
                <w:sz w:val="22"/>
                <w:highlight w:val="none"/>
              </w:rPr>
              <w:t>H800算力</w:t>
            </w:r>
          </w:p>
        </w:tc>
        <w:tc>
          <w:tcPr>
            <w:tcW w:w="1808" w:type="dxa"/>
            <w:vMerge w:val="restart"/>
            <w:tcMar>
              <w:top w:w="60" w:type="dxa"/>
              <w:left w:w="120" w:type="dxa"/>
              <w:bottom w:w="30" w:type="dxa"/>
              <w:right w:w="120" w:type="dxa"/>
            </w:tcMar>
            <w:vAlign w:val="center"/>
          </w:tcPr>
          <w:p w14:paraId="070A1DA1">
            <w:pP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Intel/AMD  CPU，内存≥1TB，配置 2 块系统盘、2 块以上高速存储盘；搭载 8 卡 NVIDIA H800 GPU 模组，配备 8×400G、2×200G、2×25G 高速网卡及双冗余电源。</w:t>
            </w:r>
          </w:p>
        </w:tc>
        <w:tc>
          <w:tcPr>
            <w:tcW w:w="817" w:type="dxa"/>
            <w:tcMar>
              <w:top w:w="60" w:type="dxa"/>
              <w:left w:w="120" w:type="dxa"/>
              <w:bottom w:w="30" w:type="dxa"/>
              <w:right w:w="120" w:type="dxa"/>
            </w:tcMar>
            <w:vAlign w:val="center"/>
          </w:tcPr>
          <w:p w14:paraId="4D64D79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241D0367">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0D098DF">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73211C4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支持弹性扩容</w:t>
            </w:r>
          </w:p>
        </w:tc>
      </w:tr>
      <w:tr w14:paraId="7E41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549782CA">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30BEFFEE">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00CAD8DD">
            <w:pPr>
              <w:spacing w:before="0" w:after="0" w:line="240" w:lineRule="auto"/>
              <w:ind w:left="240" w:hanging="240" w:hangingChars="100"/>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A800算力</w:t>
            </w:r>
          </w:p>
        </w:tc>
        <w:tc>
          <w:tcPr>
            <w:tcW w:w="1808" w:type="dxa"/>
            <w:vMerge w:val="continue"/>
            <w:tcMar>
              <w:top w:w="60" w:type="dxa"/>
              <w:left w:w="120" w:type="dxa"/>
              <w:bottom w:w="30" w:type="dxa"/>
              <w:right w:w="120" w:type="dxa"/>
            </w:tcMar>
            <w:vAlign w:val="center"/>
          </w:tcPr>
          <w:p w14:paraId="53E64954">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4FD6B000">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28B27D6">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0958F309">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7A7EE3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79A5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3B508405">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5861065D">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ABEB9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H100算力</w:t>
            </w:r>
          </w:p>
        </w:tc>
        <w:tc>
          <w:tcPr>
            <w:tcW w:w="1808" w:type="dxa"/>
            <w:vMerge w:val="continue"/>
            <w:tcMar>
              <w:top w:w="60" w:type="dxa"/>
              <w:left w:w="120" w:type="dxa"/>
              <w:bottom w:w="30" w:type="dxa"/>
              <w:right w:w="120" w:type="dxa"/>
            </w:tcMar>
            <w:vAlign w:val="center"/>
          </w:tcPr>
          <w:p w14:paraId="48460D1A">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029D7B51">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45D1369">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CE0469C">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3FC5C98">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233E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33F9996">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260EC9B6">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2DF8CA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182846EC">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2F1D7F5D">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BF60B18">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18B7EC9C">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183356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5889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129F111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2</w:t>
            </w:r>
          </w:p>
        </w:tc>
        <w:tc>
          <w:tcPr>
            <w:tcW w:w="1275" w:type="dxa"/>
            <w:vMerge w:val="restart"/>
            <w:tcMar>
              <w:top w:w="60" w:type="dxa"/>
              <w:left w:w="120" w:type="dxa"/>
              <w:bottom w:w="30" w:type="dxa"/>
              <w:right w:w="120" w:type="dxa"/>
            </w:tcMar>
            <w:vAlign w:val="center"/>
          </w:tcPr>
          <w:p w14:paraId="17B3AD4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中端AI算力</w:t>
            </w:r>
          </w:p>
        </w:tc>
        <w:tc>
          <w:tcPr>
            <w:tcW w:w="1425" w:type="dxa"/>
            <w:tcMar>
              <w:top w:w="60" w:type="dxa"/>
              <w:left w:w="120" w:type="dxa"/>
              <w:bottom w:w="30" w:type="dxa"/>
              <w:right w:w="120" w:type="dxa"/>
            </w:tcMar>
            <w:vAlign w:val="center"/>
          </w:tcPr>
          <w:p w14:paraId="60C53B10">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4090算力</w:t>
            </w:r>
          </w:p>
        </w:tc>
        <w:tc>
          <w:tcPr>
            <w:tcW w:w="1808" w:type="dxa"/>
            <w:vMerge w:val="restart"/>
            <w:tcMar>
              <w:top w:w="60" w:type="dxa"/>
              <w:left w:w="120" w:type="dxa"/>
              <w:bottom w:w="30" w:type="dxa"/>
              <w:right w:w="120" w:type="dxa"/>
            </w:tcMar>
            <w:vAlign w:val="center"/>
          </w:tcPr>
          <w:p w14:paraId="4735D597">
            <w:pPr>
              <w:rPr>
                <w:rFonts w:hint="eastAsia" w:asciiTheme="majorEastAsia" w:hAnsiTheme="majorEastAsia" w:eastAsiaTheme="majorEastAsia" w:cstheme="majorEastAsia"/>
                <w:highlight w:val="none"/>
              </w:rPr>
            </w:pPr>
          </w:p>
          <w:p w14:paraId="58C011CB">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szCs w:val="22"/>
                <w:highlight w:val="none"/>
              </w:rPr>
              <w:t>Intel/AMD</w:t>
            </w:r>
            <w:r>
              <w:rPr>
                <w:rFonts w:hint="eastAsia" w:asciiTheme="majorEastAsia" w:hAnsiTheme="majorEastAsia" w:eastAsiaTheme="majorEastAsia" w:cstheme="majorEastAsia"/>
                <w:sz w:val="22"/>
                <w:szCs w:val="22"/>
                <w:highlight w:val="none"/>
                <w:lang w:val="en-US" w:eastAsia="zh-CN"/>
              </w:rPr>
              <w:t xml:space="preserve"> </w:t>
            </w:r>
            <w:r>
              <w:rPr>
                <w:rFonts w:hint="eastAsia" w:asciiTheme="majorEastAsia" w:hAnsiTheme="majorEastAsia" w:eastAsiaTheme="majorEastAsia" w:cstheme="majorEastAsia"/>
                <w:sz w:val="22"/>
                <w:szCs w:val="22"/>
                <w:highlight w:val="none"/>
              </w:rPr>
              <w:t>CPU，内存≥512G；配备 2 块企业级 SSD 系统盘、2 块及以上高速数据存储盘；搭载8张RTX 4090或RTX 5090</w:t>
            </w:r>
            <w:r>
              <w:rPr>
                <w:rFonts w:hint="eastAsia" w:asciiTheme="majorEastAsia" w:hAnsiTheme="majorEastAsia" w:eastAsiaTheme="majorEastAsia" w:cstheme="majorEastAsia"/>
                <w:sz w:val="22"/>
                <w:szCs w:val="22"/>
                <w:highlight w:val="none"/>
                <w:lang w:val="en-US" w:eastAsia="zh-CN"/>
              </w:rPr>
              <w:t xml:space="preserve"> GPU</w:t>
            </w:r>
            <w:r>
              <w:rPr>
                <w:rFonts w:hint="eastAsia" w:asciiTheme="majorEastAsia" w:hAnsiTheme="majorEastAsia" w:eastAsiaTheme="majorEastAsia" w:cstheme="majorEastAsia"/>
                <w:sz w:val="22"/>
                <w:szCs w:val="22"/>
                <w:highlight w:val="none"/>
              </w:rPr>
              <w:t>；配置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43EA678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31F69A9F">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AC20DCE">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CB8C9B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支持训练、推理场景</w:t>
            </w:r>
          </w:p>
        </w:tc>
      </w:tr>
      <w:tr w14:paraId="625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4F942E69">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1B0DCA91">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F12E6E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5090算力</w:t>
            </w:r>
          </w:p>
        </w:tc>
        <w:tc>
          <w:tcPr>
            <w:tcW w:w="1808" w:type="dxa"/>
            <w:vMerge w:val="continue"/>
            <w:tcMar>
              <w:top w:w="60" w:type="dxa"/>
              <w:left w:w="120" w:type="dxa"/>
              <w:bottom w:w="30" w:type="dxa"/>
              <w:right w:w="120" w:type="dxa"/>
            </w:tcMar>
            <w:vAlign w:val="center"/>
          </w:tcPr>
          <w:p w14:paraId="2B5BEF5F">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481E35B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190DFAB2">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941F756">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AEB5CF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支持训练、推理场</w:t>
            </w:r>
          </w:p>
        </w:tc>
      </w:tr>
      <w:tr w14:paraId="218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40557A17">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412C3EF5">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50A43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国产华为、天数、沐曦等其他主流规格算力.... ...</w:t>
            </w:r>
          </w:p>
        </w:tc>
        <w:tc>
          <w:tcPr>
            <w:tcW w:w="1808" w:type="dxa"/>
            <w:tcMar>
              <w:top w:w="60" w:type="dxa"/>
              <w:left w:w="120" w:type="dxa"/>
              <w:bottom w:w="30" w:type="dxa"/>
              <w:right w:w="120" w:type="dxa"/>
            </w:tcMar>
            <w:vAlign w:val="center"/>
          </w:tcPr>
          <w:p w14:paraId="1D395FB5">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国产系列CPU，内存≥1TB；配置 2 块企业级 SSD 系统盘、2 块高速数据存储盘；搭载 8 张国产自研 GPU 加速卡，单卡显存不低于 32GB；采用双冗余电源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C44C9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5C372A56">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4D923347">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F7C3636">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支持训练、推理场</w:t>
            </w:r>
          </w:p>
        </w:tc>
      </w:tr>
      <w:tr w14:paraId="099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52EC56C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3</w:t>
            </w:r>
          </w:p>
        </w:tc>
        <w:tc>
          <w:tcPr>
            <w:tcW w:w="1275" w:type="dxa"/>
            <w:vMerge w:val="restart"/>
            <w:tcMar>
              <w:top w:w="60" w:type="dxa"/>
              <w:left w:w="120" w:type="dxa"/>
              <w:bottom w:w="30" w:type="dxa"/>
              <w:right w:w="120" w:type="dxa"/>
            </w:tcMar>
            <w:vAlign w:val="center"/>
          </w:tcPr>
          <w:p w14:paraId="5C16A277">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通用算力</w:t>
            </w:r>
          </w:p>
        </w:tc>
        <w:tc>
          <w:tcPr>
            <w:tcW w:w="1425" w:type="dxa"/>
            <w:tcMar>
              <w:top w:w="60" w:type="dxa"/>
              <w:left w:w="120" w:type="dxa"/>
              <w:bottom w:w="30" w:type="dxa"/>
              <w:right w:w="120" w:type="dxa"/>
            </w:tcMar>
            <w:vAlign w:val="center"/>
          </w:tcPr>
          <w:p w14:paraId="3762FA32">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 CPU 算力资源</w:t>
            </w:r>
          </w:p>
        </w:tc>
        <w:tc>
          <w:tcPr>
            <w:tcW w:w="1808" w:type="dxa"/>
            <w:vMerge w:val="restart"/>
            <w:tcMar>
              <w:top w:w="60" w:type="dxa"/>
              <w:left w:w="120" w:type="dxa"/>
              <w:bottom w:w="30" w:type="dxa"/>
              <w:right w:w="120" w:type="dxa"/>
            </w:tcMar>
            <w:vAlign w:val="center"/>
          </w:tcPr>
          <w:p w14:paraId="54FE9F58">
            <w:pPr>
              <w:spacing w:before="0" w:after="0" w:line="240" w:lineRule="auto"/>
              <w:jc w:val="both"/>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Intel Xeon 铂金/AMD EPYC 系列 CPU，标配16核32GB内存，支持弹性扩容；配置企业级 SSD 系统盘+大容量高速数据存储盘，搭载千兆/万兆高速网卡、双冗余电源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D9627C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7A09B391">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E4C889D">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475FEA7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4CF2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9" w:hRule="atLeast"/>
        </w:trPr>
        <w:tc>
          <w:tcPr>
            <w:tcW w:w="492" w:type="dxa"/>
            <w:vMerge w:val="continue"/>
            <w:tcMar>
              <w:top w:w="60" w:type="dxa"/>
              <w:left w:w="120" w:type="dxa"/>
              <w:bottom w:w="30" w:type="dxa"/>
              <w:right w:w="120" w:type="dxa"/>
            </w:tcMar>
            <w:vAlign w:val="center"/>
          </w:tcPr>
          <w:p w14:paraId="3802057F">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52820DA3">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0F7FC1C6">
            <w:pPr>
              <w:spacing w:before="0" w:after="0" w:line="240" w:lineRule="auto"/>
              <w:jc w:val="left"/>
              <w:rPr>
                <w:rFonts w:hint="eastAsia" w:asciiTheme="majorEastAsia" w:hAnsiTheme="majorEastAsia" w:eastAsiaTheme="majorEastAsia" w:cstheme="majorEastAsia"/>
                <w:sz w:val="22"/>
                <w:highlight w:val="none"/>
                <w:lang w:val="en-US" w:eastAsia="zh-CN"/>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24BC46E3">
            <w:pPr>
              <w:spacing w:before="0" w:after="0" w:line="240" w:lineRule="auto"/>
              <w:jc w:val="both"/>
              <w:rPr>
                <w:rFonts w:hint="eastAsia" w:asciiTheme="majorEastAsia" w:hAnsiTheme="majorEastAsia" w:eastAsiaTheme="majorEastAsia" w:cstheme="majorEastAsia"/>
                <w:sz w:val="22"/>
                <w:szCs w:val="22"/>
                <w:highlight w:val="none"/>
              </w:rPr>
            </w:pPr>
          </w:p>
        </w:tc>
        <w:tc>
          <w:tcPr>
            <w:tcW w:w="817" w:type="dxa"/>
            <w:tcMar>
              <w:top w:w="60" w:type="dxa"/>
              <w:left w:w="120" w:type="dxa"/>
              <w:bottom w:w="30" w:type="dxa"/>
              <w:right w:w="120" w:type="dxa"/>
            </w:tcMar>
            <w:vAlign w:val="center"/>
          </w:tcPr>
          <w:p w14:paraId="35497FB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70E3CBF8">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4036011A">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E6C503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2CF4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5EBD0416">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69A94F2A">
            <w:pPr>
              <w:spacing w:before="0" w:after="0" w:line="240" w:lineRule="auto"/>
              <w:jc w:val="center"/>
              <w:rPr>
                <w:rFonts w:hint="eastAsia" w:asciiTheme="majorEastAsia" w:hAnsiTheme="majorEastAsia" w:eastAsiaTheme="majorEastAsia" w:cstheme="majorEastAsia"/>
                <w:sz w:val="21"/>
                <w:highlight w:val="none"/>
              </w:rPr>
            </w:pPr>
          </w:p>
        </w:tc>
        <w:tc>
          <w:tcPr>
            <w:tcW w:w="1425" w:type="dxa"/>
            <w:tcMar>
              <w:top w:w="60" w:type="dxa"/>
              <w:left w:w="120" w:type="dxa"/>
              <w:bottom w:w="30" w:type="dxa"/>
              <w:right w:w="120" w:type="dxa"/>
            </w:tcMar>
            <w:vAlign w:val="center"/>
          </w:tcPr>
          <w:p w14:paraId="68FEFC9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5B8B649D">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6E8CAE0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6FBE0BC1">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16D820B">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C0FFD0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5475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27D5FD3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4</w:t>
            </w:r>
          </w:p>
        </w:tc>
        <w:tc>
          <w:tcPr>
            <w:tcW w:w="1275" w:type="dxa"/>
            <w:vMerge w:val="restart"/>
            <w:tcMar>
              <w:top w:w="60" w:type="dxa"/>
              <w:left w:w="120" w:type="dxa"/>
              <w:bottom w:w="30" w:type="dxa"/>
              <w:right w:w="120" w:type="dxa"/>
            </w:tcMar>
            <w:vAlign w:val="center"/>
          </w:tcPr>
          <w:p w14:paraId="24242C7B">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裸金属服务器租赁</w:t>
            </w:r>
          </w:p>
        </w:tc>
        <w:tc>
          <w:tcPr>
            <w:tcW w:w="1425" w:type="dxa"/>
            <w:tcMar>
              <w:top w:w="60" w:type="dxa"/>
              <w:left w:w="120" w:type="dxa"/>
              <w:bottom w:w="30" w:type="dxa"/>
              <w:right w:w="120" w:type="dxa"/>
            </w:tcMar>
            <w:vAlign w:val="center"/>
          </w:tcPr>
          <w:p w14:paraId="1B72DAC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A800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1F4196C4">
            <w:pPr>
              <w:spacing w:before="0" w:after="0" w:line="240" w:lineRule="auto"/>
              <w:jc w:val="left"/>
              <w:rPr>
                <w:rFonts w:hint="eastAsia" w:asciiTheme="majorEastAsia" w:hAnsiTheme="majorEastAsia" w:eastAsiaTheme="majorEastAsia" w:cstheme="majorEastAsia"/>
                <w:sz w:val="22"/>
                <w:highlight w:val="none"/>
                <w:lang w:val="en-US" w:eastAsia="zh-CN"/>
              </w:rPr>
            </w:pPr>
            <w:r>
              <w:rPr>
                <w:rFonts w:hint="eastAsia" w:asciiTheme="majorEastAsia" w:hAnsiTheme="majorEastAsia" w:eastAsiaTheme="majorEastAsia" w:cstheme="majorEastAsia"/>
                <w:sz w:val="22"/>
                <w:szCs w:val="22"/>
                <w:highlight w:val="none"/>
              </w:rPr>
              <w:t>Intel/AMD CPU，内存≥1TB；配置 2 块企业级 SSD 系统盘、2 块及以上高速 NVMe 存储盘；搭载8张 NVIDIA A800 GPU，单卡显存 80GB，配置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6E8BBB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0BAF49D7">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B459B9F">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2FDF117">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0CC8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0FB4CB45">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46CC74FE">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5440E128">
            <w:pPr>
              <w:spacing w:before="0" w:after="0" w:line="240" w:lineRule="auto"/>
              <w:jc w:val="both"/>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4090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2231489A">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 xml:space="preserve">Intel/AMD  CPU，内存≥512GB；配置 2 块企业级 SSD 系统盘、2 块及以上高速存储盘； 8张 RTX </w:t>
            </w:r>
            <w:r>
              <w:rPr>
                <w:rFonts w:hint="eastAsia" w:asciiTheme="majorEastAsia" w:hAnsiTheme="majorEastAsia" w:eastAsiaTheme="majorEastAsia" w:cstheme="majorEastAsia"/>
                <w:sz w:val="22"/>
                <w:szCs w:val="22"/>
                <w:highlight w:val="none"/>
                <w:lang w:val="en-US" w:eastAsia="zh-CN"/>
              </w:rPr>
              <w:t>4</w:t>
            </w:r>
            <w:r>
              <w:rPr>
                <w:rFonts w:hint="eastAsia" w:asciiTheme="majorEastAsia" w:hAnsiTheme="majorEastAsia" w:eastAsiaTheme="majorEastAsia" w:cstheme="majorEastAsia"/>
                <w:sz w:val="22"/>
                <w:szCs w:val="22"/>
                <w:highlight w:val="none"/>
              </w:rPr>
              <w:t>090 GPU，配置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4A883F5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5AD3F00E">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290693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68B10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41D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754C689">
            <w:pPr>
              <w:spacing w:before="0" w:after="0" w:line="240" w:lineRule="auto"/>
              <w:jc w:val="center"/>
              <w:rPr>
                <w:rFonts w:hint="eastAsia" w:asciiTheme="majorEastAsia" w:hAnsiTheme="majorEastAsia" w:eastAsiaTheme="majorEastAsia" w:cstheme="majorEastAsia"/>
                <w:highlight w:val="none"/>
              </w:rPr>
            </w:pPr>
          </w:p>
        </w:tc>
        <w:tc>
          <w:tcPr>
            <w:tcW w:w="1275" w:type="dxa"/>
            <w:vMerge w:val="continue"/>
            <w:tcMar>
              <w:top w:w="60" w:type="dxa"/>
              <w:left w:w="120" w:type="dxa"/>
              <w:bottom w:w="30" w:type="dxa"/>
              <w:right w:w="120" w:type="dxa"/>
            </w:tcMar>
            <w:vAlign w:val="center"/>
          </w:tcPr>
          <w:p w14:paraId="79B95F53">
            <w:pPr>
              <w:spacing w:before="0" w:after="0" w:line="240" w:lineRule="auto"/>
              <w:jc w:val="center"/>
              <w:rPr>
                <w:rFonts w:hint="eastAsia" w:asciiTheme="majorEastAsia" w:hAnsiTheme="majorEastAsia" w:eastAsiaTheme="majorEastAsia" w:cstheme="majorEastAsia"/>
                <w:highlight w:val="none"/>
              </w:rPr>
            </w:pPr>
          </w:p>
        </w:tc>
        <w:tc>
          <w:tcPr>
            <w:tcW w:w="1425" w:type="dxa"/>
            <w:tcMar>
              <w:top w:w="60" w:type="dxa"/>
              <w:left w:w="120" w:type="dxa"/>
              <w:bottom w:w="30" w:type="dxa"/>
              <w:right w:w="120" w:type="dxa"/>
            </w:tcMar>
            <w:vAlign w:val="center"/>
          </w:tcPr>
          <w:p w14:paraId="03936D3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5090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409C92AD">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Intel/AMD  CPU，内存≥512GB；配置 2 块企业级 SSD 系统盘、2 块及以上高速存储盘； 8张 RTX 5090 GPU，配置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3E0C2F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59540B54">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86972F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4B293A81">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6D27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991A2FF">
            <w:pPr>
              <w:spacing w:before="0" w:after="0" w:line="240" w:lineRule="auto"/>
              <w:jc w:val="center"/>
              <w:rPr>
                <w:rFonts w:hint="eastAsia" w:asciiTheme="majorEastAsia" w:hAnsiTheme="majorEastAsia" w:eastAsiaTheme="majorEastAsia" w:cstheme="majorEastAsia"/>
                <w:highlight w:val="none"/>
              </w:rPr>
            </w:pPr>
          </w:p>
        </w:tc>
        <w:tc>
          <w:tcPr>
            <w:tcW w:w="1275" w:type="dxa"/>
            <w:vMerge w:val="continue"/>
            <w:tcMar>
              <w:top w:w="60" w:type="dxa"/>
              <w:left w:w="120" w:type="dxa"/>
              <w:bottom w:w="30" w:type="dxa"/>
              <w:right w:w="120" w:type="dxa"/>
            </w:tcMar>
            <w:vAlign w:val="center"/>
          </w:tcPr>
          <w:p w14:paraId="5F6723EE">
            <w:pPr>
              <w:spacing w:before="0" w:after="0" w:line="240" w:lineRule="auto"/>
              <w:jc w:val="center"/>
              <w:rPr>
                <w:rFonts w:hint="eastAsia" w:asciiTheme="majorEastAsia" w:hAnsiTheme="majorEastAsia" w:eastAsiaTheme="majorEastAsia" w:cstheme="majorEastAsia"/>
                <w:highlight w:val="none"/>
              </w:rPr>
            </w:pPr>
          </w:p>
        </w:tc>
        <w:tc>
          <w:tcPr>
            <w:tcW w:w="1425" w:type="dxa"/>
            <w:tcMar>
              <w:top w:w="60" w:type="dxa"/>
              <w:left w:w="120" w:type="dxa"/>
              <w:bottom w:w="30" w:type="dxa"/>
              <w:right w:w="120" w:type="dxa"/>
            </w:tcMar>
            <w:vAlign w:val="center"/>
          </w:tcPr>
          <w:p w14:paraId="7B5E9284">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其他主流规格.... ...</w:t>
            </w:r>
          </w:p>
        </w:tc>
        <w:tc>
          <w:tcPr>
            <w:tcW w:w="1808" w:type="dxa"/>
            <w:tcMar>
              <w:top w:w="60" w:type="dxa"/>
              <w:left w:w="120" w:type="dxa"/>
              <w:bottom w:w="30" w:type="dxa"/>
              <w:right w:w="120" w:type="dxa"/>
            </w:tcMar>
            <w:vAlign w:val="center"/>
          </w:tcPr>
          <w:p w14:paraId="7B9D60C6">
            <w:pPr>
              <w:spacing w:before="0" w:after="0" w:line="240" w:lineRule="auto"/>
              <w:jc w:val="left"/>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62906CE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35A13BDB">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F8E2AF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F255EE2">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bl>
    <w:p w14:paraId="0E42B205">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w:t>
      </w:r>
      <w:r>
        <w:rPr>
          <w:rFonts w:hint="eastAsia" w:asciiTheme="majorEastAsia" w:hAnsiTheme="majorEastAsia" w:eastAsiaTheme="majorEastAsia" w:cstheme="majorEastAsia"/>
          <w:sz w:val="24"/>
          <w:szCs w:val="24"/>
          <w:highlight w:val="none"/>
        </w:rPr>
        <w:t>备注：可结合实际业务内容对表格行数量进行删减或增加</w:t>
      </w:r>
      <w:r>
        <w:rPr>
          <w:rFonts w:hint="eastAsia" w:asciiTheme="majorEastAsia" w:hAnsiTheme="majorEastAsia" w:eastAsiaTheme="majorEastAsia" w:cstheme="majorEastAsia"/>
          <w:b/>
          <w:sz w:val="24"/>
          <w:szCs w:val="24"/>
          <w:highlight w:val="none"/>
        </w:rPr>
        <w:t>)</w:t>
      </w:r>
    </w:p>
    <w:p w14:paraId="7C8524D4">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p>
    <w:p w14:paraId="482C6BB4">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算力报价承诺</w:t>
      </w:r>
    </w:p>
    <w:p w14:paraId="070C67C0">
      <w:pPr>
        <w:spacing w:before="120" w:after="120" w:line="288" w:lineRule="auto"/>
        <w:ind w:firstLine="480" w:firstLineChars="20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本单位已充分理解本次入围报价，本表所填单价、折扣</w:t>
      </w:r>
      <w:r>
        <w:rPr>
          <w:rFonts w:hint="eastAsia" w:asciiTheme="majorEastAsia" w:hAnsiTheme="majorEastAsia" w:eastAsiaTheme="majorEastAsia" w:cstheme="majorEastAsia"/>
          <w:sz w:val="24"/>
          <w:szCs w:val="24"/>
          <w:highlight w:val="none"/>
          <w:lang w:val="en-US" w:eastAsia="zh-CN"/>
        </w:rPr>
        <w:t>率</w:t>
      </w:r>
      <w:r>
        <w:rPr>
          <w:rFonts w:hint="eastAsia" w:asciiTheme="majorEastAsia" w:hAnsiTheme="majorEastAsia" w:eastAsiaTheme="majorEastAsia" w:cstheme="majorEastAsia"/>
          <w:sz w:val="24"/>
          <w:szCs w:val="24"/>
          <w:highlight w:val="none"/>
        </w:rPr>
        <w:t>真实有效；按要求提供 7×24 小时运维、弹性扩容、故障处置等服务，自愿接受采购人考核、询比价及入围库动态管理规则。</w:t>
      </w:r>
    </w:p>
    <w:p w14:paraId="18803638">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承诺人（盖章）：__________</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日期：____年____月____日</w:t>
      </w:r>
      <w:bookmarkStart w:id="149" w:name="heading_19"/>
    </w:p>
    <w:p w14:paraId="33AD8D7A">
      <w:pPr>
        <w:spacing w:before="0" w:after="0" w:line="240" w:lineRule="auto"/>
        <w:ind w:firstLine="0" w:firstLineChars="0"/>
        <w:jc w:val="left"/>
        <w:outlineLvl w:val="9"/>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br w:type="page"/>
      </w:r>
    </w:p>
    <w:p w14:paraId="2A1B7575">
      <w:pPr>
        <w:spacing w:line="440" w:lineRule="exact"/>
        <w:jc w:val="center"/>
        <w:rPr>
          <w:rFonts w:hint="eastAsia"/>
          <w:b/>
          <w:bCs/>
          <w:color w:val="auto"/>
          <w:kern w:val="0"/>
          <w:sz w:val="24"/>
          <w:szCs w:val="24"/>
          <w:lang w:eastAsia="zh-CN"/>
        </w:rPr>
      </w:pPr>
      <w:bookmarkStart w:id="150" w:name="_Toc14987"/>
      <w:r>
        <w:rPr>
          <w:rFonts w:hint="eastAsia"/>
          <w:b/>
          <w:bCs/>
          <w:color w:val="auto"/>
          <w:kern w:val="0"/>
          <w:sz w:val="24"/>
          <w:szCs w:val="24"/>
          <w:lang w:eastAsia="zh-CN"/>
        </w:rPr>
        <w:t>（二）报价响应表</w:t>
      </w:r>
      <w:bookmarkEnd w:id="149"/>
      <w:r>
        <w:rPr>
          <w:rFonts w:hint="eastAsia"/>
          <w:b/>
          <w:bCs/>
          <w:color w:val="auto"/>
          <w:kern w:val="0"/>
          <w:sz w:val="24"/>
          <w:szCs w:val="24"/>
          <w:lang w:eastAsia="zh-CN"/>
        </w:rPr>
        <w:t>（标段3：AI Token 资源服务）</w:t>
      </w:r>
      <w:bookmarkEnd w:id="150"/>
    </w:p>
    <w:p w14:paraId="3B9D23EB">
      <w:pPr>
        <w:spacing w:before="120" w:after="120" w:line="288" w:lineRule="auto"/>
        <w:ind w:left="479" w:leftChars="228"/>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服务商</w:t>
      </w:r>
      <w:r>
        <w:rPr>
          <w:rFonts w:hint="eastAsia" w:asciiTheme="majorEastAsia" w:hAnsiTheme="majorEastAsia" w:eastAsiaTheme="majorEastAsia" w:cstheme="majorEastAsia"/>
          <w:sz w:val="24"/>
          <w:szCs w:val="24"/>
          <w:highlight w:val="none"/>
        </w:rPr>
        <w:t>名称（盖章）：</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计价单位：元/百万Token</w:t>
      </w:r>
    </w:p>
    <w:tbl>
      <w:tblPr>
        <w:tblStyle w:val="3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3"/>
        <w:gridCol w:w="1680"/>
        <w:gridCol w:w="1460"/>
        <w:gridCol w:w="2977"/>
        <w:gridCol w:w="1320"/>
        <w:gridCol w:w="1140"/>
      </w:tblGrid>
      <w:tr w14:paraId="3BE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tcMar>
              <w:top w:w="60" w:type="dxa"/>
              <w:left w:w="120" w:type="dxa"/>
              <w:bottom w:w="30" w:type="dxa"/>
              <w:right w:w="120" w:type="dxa"/>
            </w:tcMar>
            <w:vAlign w:val="center"/>
          </w:tcPr>
          <w:p w14:paraId="1DA593D2">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序号</w:t>
            </w:r>
          </w:p>
        </w:tc>
        <w:tc>
          <w:tcPr>
            <w:tcW w:w="1680" w:type="dxa"/>
            <w:tcMar>
              <w:top w:w="60" w:type="dxa"/>
              <w:left w:w="120" w:type="dxa"/>
              <w:bottom w:w="30" w:type="dxa"/>
              <w:right w:w="120" w:type="dxa"/>
            </w:tcMar>
            <w:vAlign w:val="center"/>
          </w:tcPr>
          <w:p w14:paraId="16F23201">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Token 服务类型</w:t>
            </w:r>
          </w:p>
        </w:tc>
        <w:tc>
          <w:tcPr>
            <w:tcW w:w="1460" w:type="dxa"/>
            <w:tcMar>
              <w:top w:w="60" w:type="dxa"/>
              <w:left w:w="120" w:type="dxa"/>
              <w:bottom w:w="30" w:type="dxa"/>
              <w:right w:w="120" w:type="dxa"/>
            </w:tcMar>
            <w:vAlign w:val="center"/>
          </w:tcPr>
          <w:p w14:paraId="468D00EC">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配套大模型</w:t>
            </w:r>
          </w:p>
        </w:tc>
        <w:tc>
          <w:tcPr>
            <w:tcW w:w="2977" w:type="dxa"/>
            <w:tcMar>
              <w:top w:w="60" w:type="dxa"/>
              <w:left w:w="120" w:type="dxa"/>
              <w:bottom w:w="30" w:type="dxa"/>
              <w:right w:w="120" w:type="dxa"/>
            </w:tcMar>
            <w:vAlign w:val="center"/>
          </w:tcPr>
          <w:p w14:paraId="4115C210">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含税单价（元/百万Token）</w:t>
            </w:r>
          </w:p>
        </w:tc>
        <w:tc>
          <w:tcPr>
            <w:tcW w:w="1320" w:type="dxa"/>
            <w:tcMar>
              <w:top w:w="60" w:type="dxa"/>
              <w:left w:w="120" w:type="dxa"/>
              <w:bottom w:w="30" w:type="dxa"/>
              <w:right w:w="120" w:type="dxa"/>
            </w:tcMar>
            <w:vAlign w:val="center"/>
          </w:tcPr>
          <w:p w14:paraId="15A46A2F">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报价优惠折扣率（%）</w:t>
            </w:r>
          </w:p>
        </w:tc>
        <w:tc>
          <w:tcPr>
            <w:tcW w:w="1140" w:type="dxa"/>
            <w:tcMar>
              <w:top w:w="60" w:type="dxa"/>
              <w:left w:w="120" w:type="dxa"/>
              <w:bottom w:w="30" w:type="dxa"/>
              <w:right w:w="120" w:type="dxa"/>
            </w:tcMar>
            <w:vAlign w:val="center"/>
          </w:tcPr>
          <w:p w14:paraId="639F2BAC">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备注</w:t>
            </w:r>
          </w:p>
        </w:tc>
      </w:tr>
      <w:tr w14:paraId="68C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restart"/>
            <w:tcMar>
              <w:top w:w="60" w:type="dxa"/>
              <w:left w:w="120" w:type="dxa"/>
              <w:bottom w:w="30" w:type="dxa"/>
              <w:right w:w="120" w:type="dxa"/>
            </w:tcMar>
            <w:vAlign w:val="center"/>
          </w:tcPr>
          <w:p w14:paraId="5F106F6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1</w:t>
            </w:r>
          </w:p>
        </w:tc>
        <w:tc>
          <w:tcPr>
            <w:tcW w:w="1680" w:type="dxa"/>
            <w:vMerge w:val="restart"/>
            <w:tcMar>
              <w:top w:w="60" w:type="dxa"/>
              <w:left w:w="120" w:type="dxa"/>
              <w:bottom w:w="30" w:type="dxa"/>
              <w:right w:w="120" w:type="dxa"/>
            </w:tcMar>
            <w:vAlign w:val="center"/>
          </w:tcPr>
          <w:p w14:paraId="727EFA4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通用大模型推理 Token</w:t>
            </w:r>
          </w:p>
        </w:tc>
        <w:tc>
          <w:tcPr>
            <w:tcW w:w="1460" w:type="dxa"/>
            <w:tcMar>
              <w:top w:w="60" w:type="dxa"/>
              <w:left w:w="120" w:type="dxa"/>
              <w:bottom w:w="30" w:type="dxa"/>
              <w:right w:w="120" w:type="dxa"/>
            </w:tcMar>
            <w:vAlign w:val="center"/>
          </w:tcPr>
          <w:p w14:paraId="6F140D8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例：</w:t>
            </w:r>
          </w:p>
          <w:p w14:paraId="7C18A7D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1.豆包 Doubao Lite</w:t>
            </w:r>
          </w:p>
          <w:p w14:paraId="6CC7F68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2.豆包 Doubao Pro</w:t>
            </w:r>
          </w:p>
        </w:tc>
        <w:tc>
          <w:tcPr>
            <w:tcW w:w="2977" w:type="dxa"/>
            <w:tcMar>
              <w:top w:w="60" w:type="dxa"/>
              <w:left w:w="120" w:type="dxa"/>
              <w:bottom w:w="30" w:type="dxa"/>
              <w:right w:w="120" w:type="dxa"/>
            </w:tcMar>
            <w:vAlign w:val="center"/>
          </w:tcPr>
          <w:p w14:paraId="2F425941">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例：</w:t>
            </w:r>
          </w:p>
          <w:p w14:paraId="15AD18A8">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0-256K上下文 输入价格：2.43 元/M token</w:t>
            </w:r>
          </w:p>
          <w:p w14:paraId="5E75CFB9">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0-256K上下文 输出价格：14.58 元/M token</w:t>
            </w:r>
          </w:p>
        </w:tc>
        <w:tc>
          <w:tcPr>
            <w:tcW w:w="1320" w:type="dxa"/>
            <w:tcMar>
              <w:top w:w="60" w:type="dxa"/>
              <w:left w:w="120" w:type="dxa"/>
              <w:bottom w:w="30" w:type="dxa"/>
              <w:right w:w="120" w:type="dxa"/>
            </w:tcMar>
            <w:vAlign w:val="center"/>
          </w:tcPr>
          <w:p w14:paraId="1A88942F">
            <w:pPr>
              <w:spacing w:before="0" w:after="0" w:line="240" w:lineRule="auto"/>
              <w:ind w:firstLine="0" w:firstLineChars="0"/>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例：10%</w:t>
            </w:r>
          </w:p>
        </w:tc>
        <w:tc>
          <w:tcPr>
            <w:tcW w:w="1140" w:type="dxa"/>
            <w:tcMar>
              <w:top w:w="60" w:type="dxa"/>
              <w:left w:w="120" w:type="dxa"/>
              <w:bottom w:w="30" w:type="dxa"/>
              <w:right w:w="120" w:type="dxa"/>
            </w:tcMar>
            <w:vAlign w:val="center"/>
          </w:tcPr>
          <w:p w14:paraId="462D6BD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支持高并发调用</w:t>
            </w:r>
          </w:p>
        </w:tc>
      </w:tr>
      <w:tr w14:paraId="3DCA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63F073A0">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7E8FD988">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0C2DB039">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3.通义千问 Qwen3.5-Plus</w:t>
            </w:r>
          </w:p>
          <w:p w14:paraId="4B271E4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4.通义千问 Qwen3.6-Max</w:t>
            </w:r>
          </w:p>
        </w:tc>
        <w:tc>
          <w:tcPr>
            <w:tcW w:w="2977" w:type="dxa"/>
            <w:tcMar>
              <w:top w:w="60" w:type="dxa"/>
              <w:left w:w="120" w:type="dxa"/>
              <w:bottom w:w="30" w:type="dxa"/>
              <w:right w:w="120" w:type="dxa"/>
            </w:tcMar>
            <w:vAlign w:val="center"/>
          </w:tcPr>
          <w:p w14:paraId="15F27D16">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55B87516">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0BE1D787">
            <w:pPr>
              <w:spacing w:before="0" w:after="0" w:line="240" w:lineRule="auto"/>
              <w:jc w:val="center"/>
              <w:rPr>
                <w:rFonts w:hint="eastAsia" w:asciiTheme="majorEastAsia" w:hAnsiTheme="majorEastAsia" w:eastAsiaTheme="majorEastAsia" w:cstheme="majorEastAsia"/>
                <w:sz w:val="22"/>
                <w:highlight w:val="none"/>
              </w:rPr>
            </w:pPr>
          </w:p>
        </w:tc>
      </w:tr>
      <w:tr w14:paraId="0DD2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55817A92">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078D0C73">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2F20424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5.DeepSeek-V3</w:t>
            </w:r>
          </w:p>
        </w:tc>
        <w:tc>
          <w:tcPr>
            <w:tcW w:w="2977" w:type="dxa"/>
            <w:tcMar>
              <w:top w:w="60" w:type="dxa"/>
              <w:left w:w="120" w:type="dxa"/>
              <w:bottom w:w="30" w:type="dxa"/>
              <w:right w:w="120" w:type="dxa"/>
            </w:tcMar>
            <w:vAlign w:val="center"/>
          </w:tcPr>
          <w:p w14:paraId="1840173C">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388505B4">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3647E4F8">
            <w:pPr>
              <w:spacing w:before="0" w:after="0" w:line="240" w:lineRule="auto"/>
              <w:jc w:val="center"/>
              <w:rPr>
                <w:rFonts w:hint="eastAsia" w:asciiTheme="majorEastAsia" w:hAnsiTheme="majorEastAsia" w:eastAsiaTheme="majorEastAsia" w:cstheme="majorEastAsia"/>
                <w:sz w:val="22"/>
                <w:highlight w:val="none"/>
              </w:rPr>
            </w:pPr>
          </w:p>
        </w:tc>
      </w:tr>
      <w:tr w14:paraId="3DBD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04ECB2A2">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3360B989">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122DAA49">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6. Kimi K1.5</w:t>
            </w:r>
          </w:p>
        </w:tc>
        <w:tc>
          <w:tcPr>
            <w:tcW w:w="2977" w:type="dxa"/>
            <w:tcMar>
              <w:top w:w="60" w:type="dxa"/>
              <w:left w:w="120" w:type="dxa"/>
              <w:bottom w:w="30" w:type="dxa"/>
              <w:right w:w="120" w:type="dxa"/>
            </w:tcMar>
            <w:vAlign w:val="center"/>
          </w:tcPr>
          <w:p w14:paraId="3979D603">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49E5C863">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68F10191">
            <w:pPr>
              <w:spacing w:before="0" w:after="0" w:line="240" w:lineRule="auto"/>
              <w:jc w:val="center"/>
              <w:rPr>
                <w:rFonts w:hint="eastAsia" w:asciiTheme="majorEastAsia" w:hAnsiTheme="majorEastAsia" w:eastAsiaTheme="majorEastAsia" w:cstheme="majorEastAsia"/>
                <w:sz w:val="22"/>
                <w:highlight w:val="none"/>
              </w:rPr>
            </w:pPr>
          </w:p>
        </w:tc>
      </w:tr>
      <w:tr w14:paraId="0C27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5411FC51">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0618ADED">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23BB0650">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w:t>
            </w:r>
          </w:p>
        </w:tc>
        <w:tc>
          <w:tcPr>
            <w:tcW w:w="2977" w:type="dxa"/>
            <w:tcMar>
              <w:top w:w="60" w:type="dxa"/>
              <w:left w:w="120" w:type="dxa"/>
              <w:bottom w:w="30" w:type="dxa"/>
              <w:right w:w="120" w:type="dxa"/>
            </w:tcMar>
            <w:vAlign w:val="center"/>
          </w:tcPr>
          <w:p w14:paraId="510384A3">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253AC46F">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36B1ACA5">
            <w:pPr>
              <w:spacing w:before="0" w:after="0" w:line="240" w:lineRule="auto"/>
              <w:jc w:val="center"/>
              <w:rPr>
                <w:rFonts w:hint="eastAsia" w:asciiTheme="majorEastAsia" w:hAnsiTheme="majorEastAsia" w:eastAsiaTheme="majorEastAsia" w:cstheme="majorEastAsia"/>
                <w:sz w:val="22"/>
                <w:highlight w:val="none"/>
              </w:rPr>
            </w:pPr>
          </w:p>
        </w:tc>
      </w:tr>
      <w:tr w14:paraId="78AD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restart"/>
            <w:tcMar>
              <w:top w:w="60" w:type="dxa"/>
              <w:left w:w="120" w:type="dxa"/>
              <w:bottom w:w="30" w:type="dxa"/>
              <w:right w:w="120" w:type="dxa"/>
            </w:tcMar>
            <w:vAlign w:val="center"/>
          </w:tcPr>
          <w:p w14:paraId="0FB5C00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2</w:t>
            </w:r>
          </w:p>
        </w:tc>
        <w:tc>
          <w:tcPr>
            <w:tcW w:w="1680" w:type="dxa"/>
            <w:vMerge w:val="restart"/>
            <w:tcMar>
              <w:top w:w="60" w:type="dxa"/>
              <w:left w:w="120" w:type="dxa"/>
              <w:bottom w:w="30" w:type="dxa"/>
              <w:right w:w="120" w:type="dxa"/>
            </w:tcMar>
            <w:vAlign w:val="center"/>
          </w:tcPr>
          <w:p w14:paraId="376B65E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行业模型推理/微调 Token</w:t>
            </w:r>
          </w:p>
        </w:tc>
        <w:tc>
          <w:tcPr>
            <w:tcW w:w="1460" w:type="dxa"/>
            <w:tcMar>
              <w:top w:w="60" w:type="dxa"/>
              <w:left w:w="120" w:type="dxa"/>
              <w:bottom w:w="30" w:type="dxa"/>
              <w:right w:w="120" w:type="dxa"/>
            </w:tcMar>
            <w:vAlign w:val="center"/>
          </w:tcPr>
          <w:p w14:paraId="50AA9EEA">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szCs w:val="22"/>
                <w:highlight w:val="none"/>
              </w:rPr>
              <w:t>Seedance 2.0</w:t>
            </w:r>
          </w:p>
        </w:tc>
        <w:tc>
          <w:tcPr>
            <w:tcW w:w="2977" w:type="dxa"/>
            <w:tcMar>
              <w:top w:w="60" w:type="dxa"/>
              <w:left w:w="120" w:type="dxa"/>
              <w:bottom w:w="30" w:type="dxa"/>
              <w:right w:w="120" w:type="dxa"/>
            </w:tcMar>
            <w:vAlign w:val="center"/>
          </w:tcPr>
          <w:p w14:paraId="3000C699">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6FBFD148">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258B9576">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适配政企、科研定制场景</w:t>
            </w:r>
          </w:p>
        </w:tc>
      </w:tr>
      <w:tr w14:paraId="248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3E4148CD">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5731E3B1">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57B87C9D">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w:t>
            </w:r>
          </w:p>
        </w:tc>
        <w:tc>
          <w:tcPr>
            <w:tcW w:w="2977" w:type="dxa"/>
            <w:tcMar>
              <w:top w:w="60" w:type="dxa"/>
              <w:left w:w="120" w:type="dxa"/>
              <w:bottom w:w="30" w:type="dxa"/>
              <w:right w:w="120" w:type="dxa"/>
            </w:tcMar>
            <w:vAlign w:val="center"/>
          </w:tcPr>
          <w:p w14:paraId="4BCC4DBD">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2D0F74E8">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58505A0A">
            <w:pPr>
              <w:spacing w:before="0" w:after="0" w:line="240" w:lineRule="auto"/>
              <w:jc w:val="center"/>
              <w:rPr>
                <w:rFonts w:hint="eastAsia" w:asciiTheme="majorEastAsia" w:hAnsiTheme="majorEastAsia" w:eastAsiaTheme="majorEastAsia" w:cstheme="majorEastAsia"/>
                <w:sz w:val="22"/>
                <w:highlight w:val="none"/>
              </w:rPr>
            </w:pPr>
          </w:p>
        </w:tc>
      </w:tr>
    </w:tbl>
    <w:p w14:paraId="7F06CD49">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w:t>
      </w:r>
      <w:r>
        <w:rPr>
          <w:rFonts w:hint="eastAsia" w:asciiTheme="majorEastAsia" w:hAnsiTheme="majorEastAsia" w:eastAsiaTheme="majorEastAsia" w:cstheme="majorEastAsia"/>
          <w:sz w:val="24"/>
          <w:szCs w:val="24"/>
          <w:highlight w:val="none"/>
        </w:rPr>
        <w:t>备注：可结合实际业务内容对表格行数量进行删减或增加</w:t>
      </w:r>
      <w:r>
        <w:rPr>
          <w:rFonts w:hint="eastAsia" w:asciiTheme="majorEastAsia" w:hAnsiTheme="majorEastAsia" w:eastAsiaTheme="majorEastAsia" w:cstheme="majorEastAsia"/>
          <w:b/>
          <w:sz w:val="24"/>
          <w:szCs w:val="24"/>
          <w:highlight w:val="none"/>
        </w:rPr>
        <w:t>)</w:t>
      </w:r>
    </w:p>
    <w:p w14:paraId="11E5B559">
      <w:pPr>
        <w:spacing w:before="120" w:after="120" w:line="288" w:lineRule="auto"/>
        <w:ind w:left="481" w:leftChars="229"/>
        <w:jc w:val="left"/>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lang w:eastAsia="zh-CN"/>
        </w:rPr>
        <w:t>AI Token资源服务 报价承诺</w:t>
      </w:r>
    </w:p>
    <w:p w14:paraId="01D61A8A">
      <w:pPr>
        <w:ind w:firstLine="480" w:firstLineChars="20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本单位已充分理解本次入围报价、预充值 + 月度对账等全部规则，本表报价真实有效，无隐形收费</w:t>
      </w:r>
      <w:bookmarkStart w:id="151" w:name="OLE_LINK1"/>
      <w:r>
        <w:rPr>
          <w:rFonts w:hint="eastAsia" w:asciiTheme="majorEastAsia" w:hAnsiTheme="majorEastAsia" w:eastAsiaTheme="majorEastAsia" w:cstheme="majorEastAsia"/>
          <w:sz w:val="24"/>
          <w:szCs w:val="24"/>
          <w:highlight w:val="none"/>
        </w:rPr>
        <w:t>；</w:t>
      </w:r>
      <w:bookmarkEnd w:id="151"/>
      <w:r>
        <w:rPr>
          <w:rFonts w:hint="eastAsia" w:asciiTheme="majorEastAsia" w:hAnsiTheme="majorEastAsia" w:eastAsiaTheme="majorEastAsia" w:cstheme="majorEastAsia"/>
          <w:sz w:val="24"/>
          <w:szCs w:val="24"/>
          <w:highlight w:val="none"/>
        </w:rPr>
        <w:t>保证接口高可用、调用数据统计精准，自愿接受采购人价格复核、履约考核及入围库动态管理。</w:t>
      </w:r>
    </w:p>
    <w:p w14:paraId="1A03C490">
      <w:pPr>
        <w:spacing w:before="120" w:after="120" w:line="288" w:lineRule="auto"/>
        <w:ind w:left="479" w:leftChars="228"/>
        <w:jc w:val="lef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承诺人（盖章）：__________</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日期：____年____月____日</w:t>
      </w:r>
      <w:bookmarkStart w:id="152" w:name="heading_20"/>
    </w:p>
    <w:p w14:paraId="1F9E57BD">
      <w:pPr>
        <w:spacing w:before="0" w:after="0" w:line="240" w:lineRule="auto"/>
        <w:ind w:firstLine="0" w:firstLineChars="0"/>
        <w:jc w:val="left"/>
        <w:outlineLvl w:val="9"/>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6DEE24B1">
      <w:pPr>
        <w:spacing w:line="440" w:lineRule="exact"/>
        <w:jc w:val="center"/>
        <w:rPr>
          <w:rFonts w:hint="eastAsia"/>
          <w:b/>
          <w:bCs/>
          <w:color w:val="auto"/>
          <w:kern w:val="0"/>
          <w:sz w:val="24"/>
          <w:szCs w:val="24"/>
          <w:lang w:eastAsia="zh-CN"/>
        </w:rPr>
      </w:pPr>
      <w:bookmarkStart w:id="153" w:name="_Toc31647"/>
      <w:r>
        <w:rPr>
          <w:rFonts w:hint="eastAsia"/>
          <w:b/>
          <w:bCs/>
          <w:color w:val="auto"/>
          <w:kern w:val="0"/>
          <w:sz w:val="24"/>
          <w:szCs w:val="24"/>
          <w:lang w:eastAsia="zh-CN"/>
        </w:rPr>
        <w:t>（三）统一报价声明（必填）</w:t>
      </w:r>
      <w:bookmarkEnd w:id="152"/>
      <w:bookmarkEnd w:id="153"/>
    </w:p>
    <w:p w14:paraId="61735E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1.本单位已完全理解本项目入围征集、入围库管理、履约考核、动态清退等全部规则，本次报价真实、合规，不存在恶意低价、围标串标、虚假响应行为。</w:t>
      </w:r>
    </w:p>
    <w:p w14:paraId="4BB404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2.框架履约期间，报价调整需经双方书面协商一致。</w:t>
      </w:r>
    </w:p>
    <w:p w14:paraId="311220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3.自愿配合采购人不定期价格复核、日常履约考核、应急业务保障等工作。</w:t>
      </w:r>
    </w:p>
    <w:p w14:paraId="333361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4.严格按照服务标准提供服务，不降低服务、运维、安全相关要求。</w:t>
      </w:r>
    </w:p>
    <w:p w14:paraId="6D6640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p>
    <w:p w14:paraId="4B0D47F2">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pPr>
      <w:r>
        <w:rPr>
          <w:rFonts w:hint="eastAsia" w:asciiTheme="majorEastAsia" w:hAnsiTheme="majorEastAsia" w:eastAsiaTheme="majorEastAsia" w:cstheme="majorEastAsia"/>
          <w:sz w:val="24"/>
          <w:szCs w:val="24"/>
        </w:rPr>
        <w:t>法定代表人 / 授权代表签字：__________</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公司名称（公章）：__________</w:t>
      </w:r>
      <w:r>
        <w:rPr>
          <w:rFonts w:hint="eastAsia" w:asciiTheme="majorEastAsia" w:hAnsiTheme="majorEastAsia" w:eastAsiaTheme="majorEastAsia" w:cstheme="majorEastAsia"/>
          <w:sz w:val="24"/>
          <w:szCs w:val="24"/>
        </w:rPr>
        <w:br w:type="textWrapping"/>
      </w:r>
      <w:r>
        <w:rPr>
          <w:rFonts w:hint="eastAsia" w:ascii="宋体" w:hAnsi="宋体" w:eastAsia="宋体" w:cs="宋体"/>
          <w:sz w:val="24"/>
          <w:szCs w:val="24"/>
        </w:rPr>
        <w:t>日期：____年____月____日</w:t>
      </w:r>
    </w:p>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35570B-E895-4D2E-A35A-3FCBAE5151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Univers 57 Condensed">
    <w:altName w:val="Segoe Print"/>
    <w:panose1 w:val="00000000000000000000"/>
    <w:charset w:val="00"/>
    <w:family w:val="swiss"/>
    <w:pitch w:val="default"/>
    <w:sig w:usb0="00000000" w:usb1="00000000" w:usb2="00000000" w:usb3="00000000" w:csb0="00000001" w:csb1="00000000"/>
  </w:font>
  <w:font w:name="Univers 47 CondensedLight">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8849E9F-E18F-4A9A-AEC0-88FCEC2FDFA6}"/>
  </w:font>
  <w:font w:name="Segoe UI Symbol">
    <w:panose1 w:val="020B0502040204020203"/>
    <w:charset w:val="00"/>
    <w:family w:val="swiss"/>
    <w:pitch w:val="default"/>
    <w:sig w:usb0="800001E3" w:usb1="1200FFEF" w:usb2="00040000" w:usb3="04000000" w:csb0="00000001" w:csb1="40000000"/>
    <w:embedRegular r:id="rId3" w:fontKey="{B1142482-DE41-48EC-8191-38E0D432E5C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37FE">
    <w:pPr>
      <w:pStyle w:val="25"/>
      <w:framePr w:wrap="around" w:vAnchor="text" w:hAnchor="margin" w:xAlign="center" w:y="1"/>
      <w:rPr>
        <w:rStyle w:val="42"/>
      </w:rPr>
    </w:pPr>
    <w:r>
      <w:fldChar w:fldCharType="begin"/>
    </w:r>
    <w:r>
      <w:rPr>
        <w:rStyle w:val="42"/>
      </w:rPr>
      <w:instrText xml:space="preserve">PAGE  </w:instrText>
    </w:r>
    <w:r>
      <w:fldChar w:fldCharType="end"/>
    </w:r>
  </w:p>
  <w:p w14:paraId="6D495A2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61F1">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931">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47D931">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1712">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BE48D">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0BE48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F983">
    <w:pPr>
      <w:pStyle w:val="25"/>
      <w:spacing w:before="12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B5FD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61B5FDF">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882">
    <w:pPr>
      <w:pStyle w:val="26"/>
      <w:shd w:val="pct10" w:color="auto" w:fill="auto"/>
      <w:jc w:val="right"/>
      <w:rPr>
        <w:rFonts w:hint="eastAsia" w:eastAsia="宋体"/>
        <w:lang w:eastAsia="zh-CN"/>
      </w:rPr>
    </w:pPr>
    <w:r>
      <w:rPr>
        <w:rFonts w:hint="eastAsia"/>
      </w:rPr>
      <w:t>福建省卓诚招投标代理有限责任公司公开</w:t>
    </w:r>
    <w:r>
      <w:rPr>
        <w:rFonts w:hint="eastAsia"/>
        <w:lang w:eastAsia="zh-CN"/>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6CDA">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B9ED">
    <w:pPr>
      <w:pStyle w:val="26"/>
      <w:jc w:val="right"/>
    </w:pPr>
    <w:r>
      <w:rPr>
        <w:rFonts w:hint="eastAsia"/>
      </w:rPr>
      <w:t>福建省卓诚招投标代理有限责任公司公开</w:t>
    </w:r>
    <w:r>
      <w:rPr>
        <w:rFonts w:hint="eastAsia"/>
        <w:lang w:eastAsia="zh-CN"/>
      </w:rPr>
      <w:t>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87BE">
    <w:pPr>
      <w:pStyle w:val="26"/>
      <w:jc w:val="right"/>
      <w:rPr>
        <w:sz w:val="18"/>
        <w:szCs w:val="18"/>
      </w:rPr>
    </w:pPr>
    <w:r>
      <w:rPr>
        <w:rFonts w:hint="eastAsia"/>
      </w:rPr>
      <w:t xml:space="preserve">                                                                                                                               </w:t>
    </w:r>
    <w:r>
      <w:rPr>
        <w:rFonts w:hint="eastAsia"/>
        <w:shd w:val="pct10" w:color="auto" w:fill="FFFFFF"/>
      </w:rPr>
      <w:t xml:space="preserve"> </w:t>
    </w:r>
    <w:r>
      <w:rPr>
        <w:rFonts w:hint="eastAsia"/>
      </w:rPr>
      <w:t xml:space="preserve">                                                          </w:t>
    </w:r>
    <w:r>
      <w:rPr>
        <w:rFonts w:hint="eastAsia"/>
        <w:shd w:val="pct10" w:color="auto" w:fill="FFFFFF"/>
      </w:rPr>
      <w:t xml:space="preserve"> 福建省卓诚招投标代理有限责任公司公开</w:t>
    </w:r>
    <w:r>
      <w:rPr>
        <w:rFonts w:hint="eastAsia"/>
        <w:shd w:val="pct10" w:color="auto" w:fill="FFFFFF"/>
        <w:lang w:eastAsia="zh-CN"/>
      </w:rPr>
      <w:t>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5A00">
    <w:pPr>
      <w:pStyle w:val="26"/>
      <w:jc w:val="right"/>
      <w:rPr>
        <w:rFonts w:hint="eastAsia" w:eastAsia="宋体"/>
        <w:lang w:eastAsia="zh-CN"/>
      </w:rPr>
    </w:pPr>
    <w:r>
      <w:rPr>
        <w:rFonts w:hint="eastAsia"/>
      </w:rPr>
      <w:t>福建省卓诚招投标代理有限责任公司公开</w:t>
    </w:r>
    <w:r>
      <w:rPr>
        <w:rFonts w:hint="eastAsia"/>
        <w:lang w:eastAsia="zh-CN"/>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AF005"/>
    <w:multiLevelType w:val="singleLevel"/>
    <w:tmpl w:val="8EAAF005"/>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pStyle w:val="176"/>
      <w:suff w:val="nothing"/>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
    <w:nsid w:val="28020941"/>
    <w:multiLevelType w:val="multilevel"/>
    <w:tmpl w:val="28020941"/>
    <w:lvl w:ilvl="0" w:tentative="0">
      <w:start w:val="1"/>
      <w:numFmt w:val="chineseCountingThousand"/>
      <w:pStyle w:val="3"/>
      <w:suff w:val="nothing"/>
      <w:lvlText w:val="第%1部分"/>
      <w:lvlJc w:val="left"/>
      <w:pPr>
        <w:ind w:left="1800" w:firstLine="0"/>
      </w:pPr>
      <w:rPr>
        <w:rFonts w:hint="eastAsia" w:ascii="黑体" w:eastAsia="黑体"/>
        <w:sz w:val="32"/>
      </w:rPr>
    </w:lvl>
    <w:lvl w:ilvl="1" w:tentative="0">
      <w:start w:val="1"/>
      <w:numFmt w:val="upperLetter"/>
      <w:pStyle w:val="4"/>
      <w:suff w:val="nothing"/>
      <w:lvlText w:val="%2"/>
      <w:lvlJc w:val="left"/>
      <w:pPr>
        <w:ind w:left="1800" w:firstLine="0"/>
      </w:pPr>
      <w:rPr>
        <w:rFonts w:hint="default" w:ascii="CG Times" w:hAnsi="CG Times"/>
        <w:b/>
        <w:i w:val="0"/>
        <w:sz w:val="28"/>
      </w:rPr>
    </w:lvl>
    <w:lvl w:ilvl="2" w:tentative="0">
      <w:start w:val="1"/>
      <w:numFmt w:val="decimal"/>
      <w:lvlRestart w:val="0"/>
      <w:pStyle w:val="178"/>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pStyle w:val="9"/>
      <w:suff w:val="nothing"/>
      <w:lvlText w:val=""/>
      <w:lvlJc w:val="left"/>
      <w:pPr>
        <w:ind w:left="1800" w:firstLine="0"/>
      </w:pPr>
      <w:rPr>
        <w:rFonts w:hint="eastAsia"/>
      </w:rPr>
    </w:lvl>
    <w:lvl w:ilvl="5" w:tentative="0">
      <w:start w:val="1"/>
      <w:numFmt w:val="none"/>
      <w:pStyle w:val="10"/>
      <w:suff w:val="nothing"/>
      <w:lvlText w:val=""/>
      <w:lvlJc w:val="left"/>
      <w:pPr>
        <w:ind w:left="1800" w:firstLine="0"/>
      </w:pPr>
      <w:rPr>
        <w:rFonts w:hint="eastAsia"/>
      </w:rPr>
    </w:lvl>
    <w:lvl w:ilvl="6" w:tentative="0">
      <w:start w:val="1"/>
      <w:numFmt w:val="none"/>
      <w:pStyle w:val="11"/>
      <w:suff w:val="nothing"/>
      <w:lvlText w:val=""/>
      <w:lvlJc w:val="left"/>
      <w:pPr>
        <w:ind w:left="1800" w:firstLine="0"/>
      </w:pPr>
      <w:rPr>
        <w:rFonts w:hint="eastAsia"/>
      </w:rPr>
    </w:lvl>
    <w:lvl w:ilvl="7" w:tentative="0">
      <w:start w:val="1"/>
      <w:numFmt w:val="none"/>
      <w:pStyle w:val="12"/>
      <w:suff w:val="nothing"/>
      <w:lvlText w:val=""/>
      <w:lvlJc w:val="left"/>
      <w:pPr>
        <w:ind w:left="1800" w:firstLine="0"/>
      </w:pPr>
      <w:rPr>
        <w:rFonts w:hint="eastAsia"/>
      </w:rPr>
    </w:lvl>
    <w:lvl w:ilvl="8" w:tentative="0">
      <w:start w:val="1"/>
      <w:numFmt w:val="none"/>
      <w:pStyle w:val="13"/>
      <w:suff w:val="nothing"/>
      <w:lvlText w:val=""/>
      <w:lvlJc w:val="left"/>
      <w:pPr>
        <w:ind w:left="1800" w:firstLine="0"/>
      </w:pPr>
      <w:rPr>
        <w:rFonts w:hint="eastAsia"/>
      </w:rPr>
    </w:lvl>
  </w:abstractNum>
  <w:abstractNum w:abstractNumId="3">
    <w:nsid w:val="2CD77737"/>
    <w:multiLevelType w:val="multilevel"/>
    <w:tmpl w:val="2CD77737"/>
    <w:lvl w:ilvl="0" w:tentative="0">
      <w:start w:val="1"/>
      <w:numFmt w:val="decimal"/>
      <w:pStyle w:val="125"/>
      <w:lvlText w:val="%1)"/>
      <w:lvlJc w:val="left"/>
      <w:pPr>
        <w:tabs>
          <w:tab w:val="left" w:pos="420"/>
        </w:tabs>
        <w:ind w:left="420" w:hanging="420"/>
      </w:pPr>
      <w:rPr>
        <w:b w:val="0"/>
      </w:rPr>
    </w:lvl>
    <w:lvl w:ilvl="1" w:tentative="0">
      <w:start w:val="1"/>
      <w:numFmt w:val="japaneseCounting"/>
      <w:lvlText w:val="%2、"/>
      <w:lvlJc w:val="left"/>
      <w:pPr>
        <w:tabs>
          <w:tab w:val="left" w:pos="420"/>
        </w:tabs>
        <w:ind w:left="420" w:hanging="420"/>
      </w:pPr>
      <w:rPr>
        <w:rFonts w:hint="eastAsia"/>
        <w:b w:val="0"/>
      </w:rPr>
    </w:lvl>
    <w:lvl w:ilvl="2" w:tentative="0">
      <w:start w:val="1"/>
      <w:numFmt w:val="decimal"/>
      <w:lvlText w:val="第%3节"/>
      <w:lvlJc w:val="left"/>
      <w:pPr>
        <w:tabs>
          <w:tab w:val="left" w:pos="1920"/>
        </w:tabs>
        <w:ind w:left="1920" w:hanging="1296"/>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5">
    <w:nsid w:val="34C702AC"/>
    <w:multiLevelType w:val="multilevel"/>
    <w:tmpl w:val="34C702AC"/>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abstractNum w:abstractNumId="7">
    <w:nsid w:val="64107C46"/>
    <w:multiLevelType w:val="singleLevel"/>
    <w:tmpl w:val="64107C46"/>
    <w:lvl w:ilvl="0" w:tentative="0">
      <w:start w:val="1"/>
      <w:numFmt w:val="decimal"/>
      <w:lvlText w:val="%1."/>
      <w:lvlJc w:val="left"/>
      <w:pPr>
        <w:tabs>
          <w:tab w:val="left" w:pos="312"/>
        </w:tabs>
      </w:p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7D06CB"/>
    <w:rsid w:val="000013C5"/>
    <w:rsid w:val="00016C0A"/>
    <w:rsid w:val="00030143"/>
    <w:rsid w:val="000419ED"/>
    <w:rsid w:val="000449EE"/>
    <w:rsid w:val="00046C7B"/>
    <w:rsid w:val="00075128"/>
    <w:rsid w:val="000870FC"/>
    <w:rsid w:val="000919F5"/>
    <w:rsid w:val="000D588E"/>
    <w:rsid w:val="000F0FFA"/>
    <w:rsid w:val="000F1931"/>
    <w:rsid w:val="000F45A1"/>
    <w:rsid w:val="0010169F"/>
    <w:rsid w:val="00115F9B"/>
    <w:rsid w:val="00123464"/>
    <w:rsid w:val="00141C4B"/>
    <w:rsid w:val="00144238"/>
    <w:rsid w:val="00167546"/>
    <w:rsid w:val="00175443"/>
    <w:rsid w:val="00181FCF"/>
    <w:rsid w:val="0018542A"/>
    <w:rsid w:val="001919CA"/>
    <w:rsid w:val="001A019B"/>
    <w:rsid w:val="001A2DE9"/>
    <w:rsid w:val="001B051B"/>
    <w:rsid w:val="001B7CE9"/>
    <w:rsid w:val="001D0D7E"/>
    <w:rsid w:val="00232462"/>
    <w:rsid w:val="00285B74"/>
    <w:rsid w:val="00290517"/>
    <w:rsid w:val="002C0FE9"/>
    <w:rsid w:val="002C6233"/>
    <w:rsid w:val="00310154"/>
    <w:rsid w:val="00351BAA"/>
    <w:rsid w:val="00362BA2"/>
    <w:rsid w:val="0037089D"/>
    <w:rsid w:val="003B68DA"/>
    <w:rsid w:val="003B6A2D"/>
    <w:rsid w:val="003C0631"/>
    <w:rsid w:val="003C4069"/>
    <w:rsid w:val="003E5618"/>
    <w:rsid w:val="00400A62"/>
    <w:rsid w:val="00406206"/>
    <w:rsid w:val="0041744D"/>
    <w:rsid w:val="00435D8A"/>
    <w:rsid w:val="004B6943"/>
    <w:rsid w:val="005011BC"/>
    <w:rsid w:val="00510733"/>
    <w:rsid w:val="00513664"/>
    <w:rsid w:val="005251E3"/>
    <w:rsid w:val="005356DB"/>
    <w:rsid w:val="00572B4D"/>
    <w:rsid w:val="00583DB1"/>
    <w:rsid w:val="005F59E8"/>
    <w:rsid w:val="00664A0D"/>
    <w:rsid w:val="00673DEB"/>
    <w:rsid w:val="0069733D"/>
    <w:rsid w:val="006A330D"/>
    <w:rsid w:val="006C6967"/>
    <w:rsid w:val="006D4F0A"/>
    <w:rsid w:val="006F48A4"/>
    <w:rsid w:val="006F6AC8"/>
    <w:rsid w:val="006F6CB1"/>
    <w:rsid w:val="007306BB"/>
    <w:rsid w:val="00737D1C"/>
    <w:rsid w:val="0074196E"/>
    <w:rsid w:val="0074509C"/>
    <w:rsid w:val="00774181"/>
    <w:rsid w:val="007773F2"/>
    <w:rsid w:val="007814C1"/>
    <w:rsid w:val="007D06CB"/>
    <w:rsid w:val="007D1FA1"/>
    <w:rsid w:val="007F05EB"/>
    <w:rsid w:val="007F3D01"/>
    <w:rsid w:val="008064AD"/>
    <w:rsid w:val="00856480"/>
    <w:rsid w:val="0088771B"/>
    <w:rsid w:val="008E6715"/>
    <w:rsid w:val="008F5C9D"/>
    <w:rsid w:val="00900292"/>
    <w:rsid w:val="00946161"/>
    <w:rsid w:val="00965F7B"/>
    <w:rsid w:val="009819B0"/>
    <w:rsid w:val="00992E26"/>
    <w:rsid w:val="009955AF"/>
    <w:rsid w:val="009A3B0B"/>
    <w:rsid w:val="009C6FA1"/>
    <w:rsid w:val="009F6F7E"/>
    <w:rsid w:val="00A00274"/>
    <w:rsid w:val="00A17442"/>
    <w:rsid w:val="00A43825"/>
    <w:rsid w:val="00A43F53"/>
    <w:rsid w:val="00A66379"/>
    <w:rsid w:val="00B05C24"/>
    <w:rsid w:val="00B32FE3"/>
    <w:rsid w:val="00BB1F95"/>
    <w:rsid w:val="00BB243D"/>
    <w:rsid w:val="00BE7933"/>
    <w:rsid w:val="00C17CB0"/>
    <w:rsid w:val="00C334C1"/>
    <w:rsid w:val="00C40120"/>
    <w:rsid w:val="00C6014F"/>
    <w:rsid w:val="00C87575"/>
    <w:rsid w:val="00CA58E5"/>
    <w:rsid w:val="00CC27BF"/>
    <w:rsid w:val="00CD174F"/>
    <w:rsid w:val="00CF0E41"/>
    <w:rsid w:val="00D27369"/>
    <w:rsid w:val="00D34DDE"/>
    <w:rsid w:val="00D5199B"/>
    <w:rsid w:val="00D61BCC"/>
    <w:rsid w:val="00D65EE1"/>
    <w:rsid w:val="00D8572C"/>
    <w:rsid w:val="00DB4621"/>
    <w:rsid w:val="00DD2969"/>
    <w:rsid w:val="00DE75A2"/>
    <w:rsid w:val="00E31A98"/>
    <w:rsid w:val="00E36E24"/>
    <w:rsid w:val="00E67917"/>
    <w:rsid w:val="00E94EDB"/>
    <w:rsid w:val="00F25114"/>
    <w:rsid w:val="00F33F44"/>
    <w:rsid w:val="00FA200A"/>
    <w:rsid w:val="01627386"/>
    <w:rsid w:val="01AD5116"/>
    <w:rsid w:val="01D008E6"/>
    <w:rsid w:val="028158AB"/>
    <w:rsid w:val="0290573A"/>
    <w:rsid w:val="032B40C2"/>
    <w:rsid w:val="034E16EA"/>
    <w:rsid w:val="036A6D20"/>
    <w:rsid w:val="039F7E5F"/>
    <w:rsid w:val="03C35ADE"/>
    <w:rsid w:val="040B68D4"/>
    <w:rsid w:val="04335425"/>
    <w:rsid w:val="051E25B2"/>
    <w:rsid w:val="05462E63"/>
    <w:rsid w:val="057A47BD"/>
    <w:rsid w:val="06973409"/>
    <w:rsid w:val="06BE754E"/>
    <w:rsid w:val="076560F8"/>
    <w:rsid w:val="077474AC"/>
    <w:rsid w:val="07B153FA"/>
    <w:rsid w:val="080E4870"/>
    <w:rsid w:val="08886BE8"/>
    <w:rsid w:val="09BA7EE2"/>
    <w:rsid w:val="0A6842D0"/>
    <w:rsid w:val="0AD30DBF"/>
    <w:rsid w:val="0B177C8D"/>
    <w:rsid w:val="0B4619DD"/>
    <w:rsid w:val="0D71393A"/>
    <w:rsid w:val="0DBC4B09"/>
    <w:rsid w:val="0E57681C"/>
    <w:rsid w:val="0E850722"/>
    <w:rsid w:val="0EF32525"/>
    <w:rsid w:val="0F620637"/>
    <w:rsid w:val="0F71186D"/>
    <w:rsid w:val="0F7E3D37"/>
    <w:rsid w:val="0F84160F"/>
    <w:rsid w:val="0FC2540E"/>
    <w:rsid w:val="0FD576CC"/>
    <w:rsid w:val="104B62F9"/>
    <w:rsid w:val="1068102A"/>
    <w:rsid w:val="10F83B35"/>
    <w:rsid w:val="10FB56E3"/>
    <w:rsid w:val="11630D4C"/>
    <w:rsid w:val="11810000"/>
    <w:rsid w:val="118F4705"/>
    <w:rsid w:val="11975084"/>
    <w:rsid w:val="11A577C6"/>
    <w:rsid w:val="11F675B4"/>
    <w:rsid w:val="124C6563"/>
    <w:rsid w:val="129C3BDC"/>
    <w:rsid w:val="132C3CCC"/>
    <w:rsid w:val="133621EF"/>
    <w:rsid w:val="13565DAB"/>
    <w:rsid w:val="13C922B7"/>
    <w:rsid w:val="13FC2CD3"/>
    <w:rsid w:val="143A1F15"/>
    <w:rsid w:val="146B53DF"/>
    <w:rsid w:val="15237771"/>
    <w:rsid w:val="15310002"/>
    <w:rsid w:val="153239E9"/>
    <w:rsid w:val="15607DC7"/>
    <w:rsid w:val="158463ED"/>
    <w:rsid w:val="15BB05E7"/>
    <w:rsid w:val="165826D1"/>
    <w:rsid w:val="171A3310"/>
    <w:rsid w:val="17217FE3"/>
    <w:rsid w:val="174623D2"/>
    <w:rsid w:val="17B42369"/>
    <w:rsid w:val="17BB524F"/>
    <w:rsid w:val="18257A5A"/>
    <w:rsid w:val="18A562B3"/>
    <w:rsid w:val="18BF5EE4"/>
    <w:rsid w:val="18E535F9"/>
    <w:rsid w:val="19124ABA"/>
    <w:rsid w:val="19132F2C"/>
    <w:rsid w:val="19291D7B"/>
    <w:rsid w:val="1A382782"/>
    <w:rsid w:val="1A652421"/>
    <w:rsid w:val="1A6B5E42"/>
    <w:rsid w:val="1ADD2D44"/>
    <w:rsid w:val="1B596913"/>
    <w:rsid w:val="1B5A6008"/>
    <w:rsid w:val="1B8A4F3D"/>
    <w:rsid w:val="1BB13E56"/>
    <w:rsid w:val="1CDF2A8C"/>
    <w:rsid w:val="1D764084"/>
    <w:rsid w:val="1D9B5A40"/>
    <w:rsid w:val="1DB30385"/>
    <w:rsid w:val="1DD31363"/>
    <w:rsid w:val="1DE975A1"/>
    <w:rsid w:val="1EC2049B"/>
    <w:rsid w:val="1FA71678"/>
    <w:rsid w:val="20ED6B89"/>
    <w:rsid w:val="21090382"/>
    <w:rsid w:val="212E3725"/>
    <w:rsid w:val="212F5FF9"/>
    <w:rsid w:val="21787FCB"/>
    <w:rsid w:val="21807E78"/>
    <w:rsid w:val="21AD472B"/>
    <w:rsid w:val="21DF09EB"/>
    <w:rsid w:val="220714FD"/>
    <w:rsid w:val="22110B19"/>
    <w:rsid w:val="22196184"/>
    <w:rsid w:val="22943A5C"/>
    <w:rsid w:val="229E2D8D"/>
    <w:rsid w:val="22FF2360"/>
    <w:rsid w:val="23414024"/>
    <w:rsid w:val="24BE3012"/>
    <w:rsid w:val="26711AC7"/>
    <w:rsid w:val="272B1AF0"/>
    <w:rsid w:val="273D7EF3"/>
    <w:rsid w:val="274C76B3"/>
    <w:rsid w:val="27CD2EAD"/>
    <w:rsid w:val="27E72C44"/>
    <w:rsid w:val="289C18BC"/>
    <w:rsid w:val="291A53B8"/>
    <w:rsid w:val="292A5BEE"/>
    <w:rsid w:val="296035CA"/>
    <w:rsid w:val="29EE7A88"/>
    <w:rsid w:val="2A147C36"/>
    <w:rsid w:val="2A1C3095"/>
    <w:rsid w:val="2A3B3839"/>
    <w:rsid w:val="2A51296D"/>
    <w:rsid w:val="2AB27175"/>
    <w:rsid w:val="2AC373F5"/>
    <w:rsid w:val="2AD96000"/>
    <w:rsid w:val="2AED405F"/>
    <w:rsid w:val="2AFE7E6E"/>
    <w:rsid w:val="2B060108"/>
    <w:rsid w:val="2B3A54A0"/>
    <w:rsid w:val="2B6A4680"/>
    <w:rsid w:val="2B76005F"/>
    <w:rsid w:val="2B9A2652"/>
    <w:rsid w:val="2BF71B1C"/>
    <w:rsid w:val="2CBC2764"/>
    <w:rsid w:val="2D1D1611"/>
    <w:rsid w:val="2D391CE0"/>
    <w:rsid w:val="2DDF3C08"/>
    <w:rsid w:val="2E7A1A0F"/>
    <w:rsid w:val="2E9D013C"/>
    <w:rsid w:val="2EA83227"/>
    <w:rsid w:val="2F541874"/>
    <w:rsid w:val="2F5E1794"/>
    <w:rsid w:val="2FC35847"/>
    <w:rsid w:val="30617A49"/>
    <w:rsid w:val="306727B0"/>
    <w:rsid w:val="309C0A03"/>
    <w:rsid w:val="30D86C07"/>
    <w:rsid w:val="30DF2CCF"/>
    <w:rsid w:val="316E3D33"/>
    <w:rsid w:val="31DE1B20"/>
    <w:rsid w:val="32313075"/>
    <w:rsid w:val="32D37AB9"/>
    <w:rsid w:val="32D74DAE"/>
    <w:rsid w:val="331C5B40"/>
    <w:rsid w:val="332A68C9"/>
    <w:rsid w:val="339D3C34"/>
    <w:rsid w:val="33FC5905"/>
    <w:rsid w:val="349C4C87"/>
    <w:rsid w:val="352459B8"/>
    <w:rsid w:val="356E521C"/>
    <w:rsid w:val="36013560"/>
    <w:rsid w:val="361C1CAF"/>
    <w:rsid w:val="36806379"/>
    <w:rsid w:val="36CA3A99"/>
    <w:rsid w:val="36CF48DD"/>
    <w:rsid w:val="36E35A2E"/>
    <w:rsid w:val="37C608DC"/>
    <w:rsid w:val="37E3642F"/>
    <w:rsid w:val="392C6B52"/>
    <w:rsid w:val="395C70D1"/>
    <w:rsid w:val="3975683F"/>
    <w:rsid w:val="39B42780"/>
    <w:rsid w:val="3A085004"/>
    <w:rsid w:val="3A1946E8"/>
    <w:rsid w:val="3A98618C"/>
    <w:rsid w:val="3AEB7D81"/>
    <w:rsid w:val="3B300BD4"/>
    <w:rsid w:val="3B334022"/>
    <w:rsid w:val="3B7A783B"/>
    <w:rsid w:val="3B9308FD"/>
    <w:rsid w:val="3C1A1220"/>
    <w:rsid w:val="3C601127"/>
    <w:rsid w:val="3C99421F"/>
    <w:rsid w:val="3D282EF3"/>
    <w:rsid w:val="3D7775D5"/>
    <w:rsid w:val="3D826DCC"/>
    <w:rsid w:val="3D981F0A"/>
    <w:rsid w:val="3D9E53D1"/>
    <w:rsid w:val="3E843743"/>
    <w:rsid w:val="3EDE57DC"/>
    <w:rsid w:val="3EF877CA"/>
    <w:rsid w:val="3F2E4EE8"/>
    <w:rsid w:val="3FC55FDB"/>
    <w:rsid w:val="40047976"/>
    <w:rsid w:val="40371681"/>
    <w:rsid w:val="40FD7E73"/>
    <w:rsid w:val="41370ACC"/>
    <w:rsid w:val="42B42080"/>
    <w:rsid w:val="43866FC0"/>
    <w:rsid w:val="441A41D4"/>
    <w:rsid w:val="442D1CD6"/>
    <w:rsid w:val="450F2741"/>
    <w:rsid w:val="454C6EF5"/>
    <w:rsid w:val="45C76627"/>
    <w:rsid w:val="45DA67C3"/>
    <w:rsid w:val="462B5BE5"/>
    <w:rsid w:val="462F1112"/>
    <w:rsid w:val="46C266EB"/>
    <w:rsid w:val="475535CE"/>
    <w:rsid w:val="47AF64FD"/>
    <w:rsid w:val="47FF19E7"/>
    <w:rsid w:val="48016CC6"/>
    <w:rsid w:val="48A979B2"/>
    <w:rsid w:val="494D47E1"/>
    <w:rsid w:val="496C3061"/>
    <w:rsid w:val="4A1E2757"/>
    <w:rsid w:val="4A3965B4"/>
    <w:rsid w:val="4ACF0E09"/>
    <w:rsid w:val="4AD10449"/>
    <w:rsid w:val="4AEC780B"/>
    <w:rsid w:val="4B0924D2"/>
    <w:rsid w:val="4B0C342C"/>
    <w:rsid w:val="4B84060F"/>
    <w:rsid w:val="4BD855FE"/>
    <w:rsid w:val="4C1C6D84"/>
    <w:rsid w:val="4C711F00"/>
    <w:rsid w:val="4D3B301F"/>
    <w:rsid w:val="4D603181"/>
    <w:rsid w:val="4D93364A"/>
    <w:rsid w:val="4DE70ABB"/>
    <w:rsid w:val="4DF80A94"/>
    <w:rsid w:val="4E6B645F"/>
    <w:rsid w:val="4EAA0C40"/>
    <w:rsid w:val="4EE27ED3"/>
    <w:rsid w:val="4F290873"/>
    <w:rsid w:val="4F4B4993"/>
    <w:rsid w:val="4F664EEC"/>
    <w:rsid w:val="4FC71501"/>
    <w:rsid w:val="4FC71F17"/>
    <w:rsid w:val="4FD60121"/>
    <w:rsid w:val="4FD92FDB"/>
    <w:rsid w:val="50025BF9"/>
    <w:rsid w:val="50083ECC"/>
    <w:rsid w:val="50A02BF9"/>
    <w:rsid w:val="50D703CD"/>
    <w:rsid w:val="516C637D"/>
    <w:rsid w:val="51BD4420"/>
    <w:rsid w:val="523877E4"/>
    <w:rsid w:val="5296210C"/>
    <w:rsid w:val="533913C3"/>
    <w:rsid w:val="534F3BDA"/>
    <w:rsid w:val="547C686D"/>
    <w:rsid w:val="549723FB"/>
    <w:rsid w:val="54FC14C0"/>
    <w:rsid w:val="55442A9A"/>
    <w:rsid w:val="556809B6"/>
    <w:rsid w:val="557714C0"/>
    <w:rsid w:val="56853BF4"/>
    <w:rsid w:val="57131BFD"/>
    <w:rsid w:val="576D24F2"/>
    <w:rsid w:val="58017ABC"/>
    <w:rsid w:val="58286F94"/>
    <w:rsid w:val="58427CE5"/>
    <w:rsid w:val="59967ADE"/>
    <w:rsid w:val="59CD102D"/>
    <w:rsid w:val="5A557607"/>
    <w:rsid w:val="5AC24CCD"/>
    <w:rsid w:val="5B3059BF"/>
    <w:rsid w:val="5B574CF0"/>
    <w:rsid w:val="5BB60BA6"/>
    <w:rsid w:val="5C5F7CFD"/>
    <w:rsid w:val="5CC152CB"/>
    <w:rsid w:val="5D071DF4"/>
    <w:rsid w:val="5D31772C"/>
    <w:rsid w:val="5D3A6C43"/>
    <w:rsid w:val="5D5F07E3"/>
    <w:rsid w:val="5DE12BD8"/>
    <w:rsid w:val="5E845318"/>
    <w:rsid w:val="5EA22A81"/>
    <w:rsid w:val="5F700DA0"/>
    <w:rsid w:val="5FF4192B"/>
    <w:rsid w:val="5FFD3271"/>
    <w:rsid w:val="60EC0AF7"/>
    <w:rsid w:val="60ED5E3A"/>
    <w:rsid w:val="61563CF7"/>
    <w:rsid w:val="61C471B3"/>
    <w:rsid w:val="61EC5B50"/>
    <w:rsid w:val="622173D9"/>
    <w:rsid w:val="62F41D54"/>
    <w:rsid w:val="63427FBD"/>
    <w:rsid w:val="63646BC6"/>
    <w:rsid w:val="63AE59C2"/>
    <w:rsid w:val="63B35731"/>
    <w:rsid w:val="64030466"/>
    <w:rsid w:val="645837F1"/>
    <w:rsid w:val="64897DFE"/>
    <w:rsid w:val="64901F70"/>
    <w:rsid w:val="64CC010A"/>
    <w:rsid w:val="65E45DE5"/>
    <w:rsid w:val="65E9368C"/>
    <w:rsid w:val="66637E2B"/>
    <w:rsid w:val="666A3850"/>
    <w:rsid w:val="67590262"/>
    <w:rsid w:val="676F7BC1"/>
    <w:rsid w:val="67C31E82"/>
    <w:rsid w:val="68511763"/>
    <w:rsid w:val="693C3F3C"/>
    <w:rsid w:val="695157D0"/>
    <w:rsid w:val="69B61AD7"/>
    <w:rsid w:val="69BA49F6"/>
    <w:rsid w:val="69D11EA9"/>
    <w:rsid w:val="6AD53C34"/>
    <w:rsid w:val="6B1B50B6"/>
    <w:rsid w:val="6B254098"/>
    <w:rsid w:val="6BAE2F7C"/>
    <w:rsid w:val="6CF95032"/>
    <w:rsid w:val="6D71432D"/>
    <w:rsid w:val="6DAD0DE8"/>
    <w:rsid w:val="6DC02F24"/>
    <w:rsid w:val="6DD82815"/>
    <w:rsid w:val="6E6C3E5F"/>
    <w:rsid w:val="6E8D7FAA"/>
    <w:rsid w:val="6EAB14DE"/>
    <w:rsid w:val="6EAF13C7"/>
    <w:rsid w:val="6F2B76D3"/>
    <w:rsid w:val="6F8F0E84"/>
    <w:rsid w:val="6FA5104D"/>
    <w:rsid w:val="6FEF751F"/>
    <w:rsid w:val="70694724"/>
    <w:rsid w:val="70AE408C"/>
    <w:rsid w:val="70C943DC"/>
    <w:rsid w:val="712E7C6A"/>
    <w:rsid w:val="713B1E47"/>
    <w:rsid w:val="714F094B"/>
    <w:rsid w:val="717D1DE1"/>
    <w:rsid w:val="718B5704"/>
    <w:rsid w:val="71DC5E53"/>
    <w:rsid w:val="72192062"/>
    <w:rsid w:val="72653DC1"/>
    <w:rsid w:val="72AD24C0"/>
    <w:rsid w:val="72E667F4"/>
    <w:rsid w:val="733B7E27"/>
    <w:rsid w:val="73B276AF"/>
    <w:rsid w:val="73E436A5"/>
    <w:rsid w:val="74213FF1"/>
    <w:rsid w:val="74CC362C"/>
    <w:rsid w:val="74DF4006"/>
    <w:rsid w:val="755B2F59"/>
    <w:rsid w:val="763A5468"/>
    <w:rsid w:val="764D3064"/>
    <w:rsid w:val="76AB2484"/>
    <w:rsid w:val="76AE1D78"/>
    <w:rsid w:val="76C70E7F"/>
    <w:rsid w:val="78C55892"/>
    <w:rsid w:val="797A48CF"/>
    <w:rsid w:val="79827101"/>
    <w:rsid w:val="79A435EB"/>
    <w:rsid w:val="79B561A7"/>
    <w:rsid w:val="79C321D4"/>
    <w:rsid w:val="7A0F3D89"/>
    <w:rsid w:val="7A1D1D80"/>
    <w:rsid w:val="7A7B6927"/>
    <w:rsid w:val="7AAE0375"/>
    <w:rsid w:val="7AAE36B1"/>
    <w:rsid w:val="7ACD0A2E"/>
    <w:rsid w:val="7B9003DA"/>
    <w:rsid w:val="7BA23BA1"/>
    <w:rsid w:val="7BA77953"/>
    <w:rsid w:val="7BF01B79"/>
    <w:rsid w:val="7C4A4DDA"/>
    <w:rsid w:val="7CE06FD6"/>
    <w:rsid w:val="7DDE2772"/>
    <w:rsid w:val="7E185C29"/>
    <w:rsid w:val="7E4273BF"/>
    <w:rsid w:val="7E5F97BD"/>
    <w:rsid w:val="7F3E1CF6"/>
    <w:rsid w:val="7F565496"/>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numPr>
        <w:ilvl w:val="0"/>
        <w:numId w:val="1"/>
      </w:numPr>
      <w:spacing w:before="340" w:after="330" w:line="578" w:lineRule="auto"/>
      <w:jc w:val="center"/>
      <w:outlineLvl w:val="0"/>
    </w:pPr>
    <w:rPr>
      <w:rFonts w:eastAsia="黑体"/>
      <w:b/>
      <w:kern w:val="44"/>
      <w:sz w:val="36"/>
      <w:szCs w:val="20"/>
      <w:lang w:val="zh-CN"/>
    </w:rPr>
  </w:style>
  <w:style w:type="paragraph" w:styleId="4">
    <w:name w:val="heading 2"/>
    <w:basedOn w:val="1"/>
    <w:next w:val="5"/>
    <w:link w:val="52"/>
    <w:qFormat/>
    <w:uiPriority w:val="0"/>
    <w:pPr>
      <w:keepNext/>
      <w:keepLines/>
      <w:numPr>
        <w:ilvl w:val="1"/>
        <w:numId w:val="1"/>
      </w:numPr>
      <w:spacing w:before="260" w:after="260" w:line="415" w:lineRule="auto"/>
      <w:jc w:val="center"/>
      <w:outlineLvl w:val="1"/>
    </w:pPr>
    <w:rPr>
      <w:rFonts w:ascii="CG Times" w:hAnsi="CG Times"/>
      <w:b/>
      <w:sz w:val="30"/>
      <w:szCs w:val="20"/>
      <w:lang w:val="zh-CN"/>
    </w:rPr>
  </w:style>
  <w:style w:type="paragraph" w:styleId="6">
    <w:name w:val="heading 3"/>
    <w:basedOn w:val="1"/>
    <w:next w:val="1"/>
    <w:link w:val="53"/>
    <w:qFormat/>
    <w:uiPriority w:val="0"/>
    <w:pPr>
      <w:keepNext/>
      <w:keepLines/>
      <w:numPr>
        <w:ilvl w:val="0"/>
        <w:numId w:val="2"/>
      </w:numPr>
      <w:tabs>
        <w:tab w:val="left" w:pos="5852"/>
      </w:tabs>
      <w:snapToGrid w:val="0"/>
      <w:spacing w:before="360" w:line="240" w:lineRule="exact"/>
      <w:outlineLvl w:val="2"/>
    </w:pPr>
    <w:rPr>
      <w:b/>
      <w:sz w:val="28"/>
      <w:szCs w:val="20"/>
      <w:lang w:val="zh-CN"/>
    </w:rPr>
  </w:style>
  <w:style w:type="paragraph" w:styleId="7">
    <w:name w:val="heading 4"/>
    <w:basedOn w:val="1"/>
    <w:next w:val="8"/>
    <w:link w:val="54"/>
    <w:qFormat/>
    <w:uiPriority w:val="0"/>
    <w:pPr>
      <w:keepNext/>
      <w:keepLines/>
      <w:numPr>
        <w:ilvl w:val="0"/>
        <w:numId w:val="3"/>
      </w:numPr>
      <w:spacing w:before="360" w:line="240" w:lineRule="exact"/>
      <w:outlineLvl w:val="3"/>
    </w:pPr>
    <w:rPr>
      <w:rFonts w:ascii="宋体"/>
      <w:b/>
      <w:sz w:val="28"/>
      <w:szCs w:val="20"/>
      <w:lang w:val="zh-CN"/>
    </w:rPr>
  </w:style>
  <w:style w:type="paragraph" w:styleId="9">
    <w:name w:val="heading 5"/>
    <w:basedOn w:val="1"/>
    <w:next w:val="8"/>
    <w:link w:val="55"/>
    <w:qFormat/>
    <w:uiPriority w:val="0"/>
    <w:pPr>
      <w:keepNext/>
      <w:keepLines/>
      <w:numPr>
        <w:ilvl w:val="4"/>
        <w:numId w:val="1"/>
      </w:numPr>
      <w:spacing w:before="280" w:after="290" w:line="376" w:lineRule="auto"/>
      <w:outlineLvl w:val="4"/>
    </w:pPr>
    <w:rPr>
      <w:b/>
      <w:sz w:val="28"/>
      <w:szCs w:val="20"/>
      <w:lang w:val="zh-CN"/>
    </w:rPr>
  </w:style>
  <w:style w:type="paragraph" w:styleId="10">
    <w:name w:val="heading 6"/>
    <w:basedOn w:val="1"/>
    <w:next w:val="1"/>
    <w:link w:val="56"/>
    <w:qFormat/>
    <w:uiPriority w:val="0"/>
    <w:pPr>
      <w:keepNext/>
      <w:keepLines/>
      <w:numPr>
        <w:ilvl w:val="5"/>
        <w:numId w:val="1"/>
      </w:numPr>
      <w:spacing w:before="240" w:after="64" w:line="320" w:lineRule="auto"/>
      <w:outlineLvl w:val="5"/>
    </w:pPr>
    <w:rPr>
      <w:rFonts w:ascii="Arial" w:hAnsi="Arial" w:eastAsia="黑体"/>
      <w:b/>
      <w:sz w:val="24"/>
      <w:szCs w:val="20"/>
      <w:lang w:val="zh-CN"/>
    </w:rPr>
  </w:style>
  <w:style w:type="paragraph" w:styleId="11">
    <w:name w:val="heading 7"/>
    <w:basedOn w:val="1"/>
    <w:next w:val="1"/>
    <w:link w:val="57"/>
    <w:qFormat/>
    <w:uiPriority w:val="0"/>
    <w:pPr>
      <w:keepNext/>
      <w:keepLines/>
      <w:numPr>
        <w:ilvl w:val="6"/>
        <w:numId w:val="1"/>
      </w:numPr>
      <w:spacing w:before="240" w:after="64" w:line="320" w:lineRule="auto"/>
      <w:outlineLvl w:val="6"/>
    </w:pPr>
    <w:rPr>
      <w:b/>
      <w:sz w:val="24"/>
      <w:szCs w:val="20"/>
      <w:lang w:val="zh-CN"/>
    </w:rPr>
  </w:style>
  <w:style w:type="paragraph" w:styleId="12">
    <w:name w:val="heading 8"/>
    <w:basedOn w:val="1"/>
    <w:next w:val="1"/>
    <w:link w:val="58"/>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3">
    <w:name w:val="heading 9"/>
    <w:basedOn w:val="1"/>
    <w:next w:val="5"/>
    <w:link w:val="59"/>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1"/>
    <w:unhideWhenUsed/>
    <w:qFormat/>
    <w:uiPriority w:val="99"/>
    <w:pPr>
      <w:spacing w:after="120"/>
    </w:pPr>
  </w:style>
  <w:style w:type="paragraph" w:styleId="5">
    <w:name w:val="Normal Indent"/>
    <w:basedOn w:val="1"/>
    <w:link w:val="110"/>
    <w:qFormat/>
    <w:uiPriority w:val="0"/>
    <w:pPr>
      <w:ind w:firstLine="420"/>
    </w:pPr>
    <w:rPr>
      <w:rFonts w:asciiTheme="minorHAnsi" w:hAnsiTheme="minorHAnsi" w:cstheme="minorBidi"/>
      <w:szCs w:val="22"/>
    </w:rPr>
  </w:style>
  <w:style w:type="paragraph" w:customStyle="1" w:styleId="8">
    <w:name w:val="FC正文"/>
    <w:basedOn w:val="1"/>
    <w:qFormat/>
    <w:uiPriority w:val="99"/>
    <w:pPr>
      <w:snapToGrid w:val="0"/>
      <w:spacing w:before="50" w:beforeLines="50" w:after="50" w:afterLines="50"/>
      <w:contextualSpacing/>
    </w:pPr>
    <w:rPr>
      <w:color w:val="FF0000"/>
    </w:rPr>
  </w:style>
  <w:style w:type="paragraph" w:styleId="14">
    <w:name w:val="caption"/>
    <w:basedOn w:val="1"/>
    <w:next w:val="1"/>
    <w:unhideWhenUsed/>
    <w:qFormat/>
    <w:uiPriority w:val="0"/>
    <w:pPr>
      <w:keepNext/>
      <w:jc w:val="center"/>
    </w:pPr>
    <w:rPr>
      <w:rFonts w:ascii="Calibri Light" w:hAnsi="Calibri Light" w:eastAsia="黑体" w:cs="Times New Roman"/>
      <w:sz w:val="20"/>
      <w:szCs w:val="20"/>
    </w:rPr>
  </w:style>
  <w:style w:type="paragraph" w:styleId="15">
    <w:name w:val="List Bullet"/>
    <w:basedOn w:val="1"/>
    <w:qFormat/>
    <w:uiPriority w:val="0"/>
    <w:pPr>
      <w:widowControl/>
      <w:ind w:left="610" w:hanging="610" w:hangingChars="253"/>
      <w:jc w:val="left"/>
    </w:pPr>
    <w:rPr>
      <w:rFonts w:ascii="Courier New" w:hAnsi="Courier New"/>
      <w:color w:val="000000"/>
      <w:kern w:val="0"/>
      <w:sz w:val="24"/>
      <w:szCs w:val="20"/>
      <w:lang w:eastAsia="en-US"/>
    </w:rPr>
  </w:style>
  <w:style w:type="paragraph" w:styleId="16">
    <w:name w:val="Document Map"/>
    <w:basedOn w:val="1"/>
    <w:link w:val="112"/>
    <w:semiHidden/>
    <w:qFormat/>
    <w:uiPriority w:val="0"/>
    <w:pPr>
      <w:shd w:val="clear" w:color="auto" w:fill="000080"/>
    </w:pPr>
    <w:rPr>
      <w:rFonts w:asciiTheme="minorHAnsi" w:hAnsiTheme="minorHAnsi" w:eastAsiaTheme="minorEastAsia" w:cstheme="minorBidi"/>
    </w:rPr>
  </w:style>
  <w:style w:type="paragraph" w:styleId="17">
    <w:name w:val="annotation text"/>
    <w:basedOn w:val="1"/>
    <w:link w:val="146"/>
    <w:unhideWhenUsed/>
    <w:qFormat/>
    <w:uiPriority w:val="0"/>
    <w:pPr>
      <w:jc w:val="left"/>
    </w:pPr>
  </w:style>
  <w:style w:type="paragraph" w:styleId="18">
    <w:name w:val="Body Text 3"/>
    <w:basedOn w:val="1"/>
    <w:link w:val="101"/>
    <w:qFormat/>
    <w:uiPriority w:val="0"/>
    <w:pPr>
      <w:jc w:val="center"/>
    </w:pPr>
    <w:rPr>
      <w:rFonts w:ascii="宋体" w:hAnsi="宋体" w:eastAsiaTheme="minorEastAsia" w:cstheme="minorBidi"/>
      <w:szCs w:val="21"/>
    </w:rPr>
  </w:style>
  <w:style w:type="paragraph" w:styleId="19">
    <w:name w:val="Body Text Indent"/>
    <w:basedOn w:val="1"/>
    <w:link w:val="104"/>
    <w:qFormat/>
    <w:uiPriority w:val="0"/>
    <w:pPr>
      <w:snapToGrid w:val="0"/>
      <w:spacing w:line="500" w:lineRule="exact"/>
      <w:ind w:firstLine="420"/>
    </w:pPr>
    <w:rPr>
      <w:rFonts w:ascii="宋体" w:hAnsiTheme="minorHAnsi" w:eastAsiaTheme="minorEastAsia" w:cstheme="minorBidi"/>
      <w:sz w:val="24"/>
    </w:rPr>
  </w:style>
  <w:style w:type="paragraph" w:styleId="20">
    <w:name w:val="toc 3"/>
    <w:basedOn w:val="1"/>
    <w:next w:val="1"/>
    <w:semiHidden/>
    <w:qFormat/>
    <w:uiPriority w:val="0"/>
    <w:pPr>
      <w:ind w:left="840" w:leftChars="400"/>
    </w:pPr>
  </w:style>
  <w:style w:type="paragraph" w:styleId="21">
    <w:name w:val="Plain Text"/>
    <w:basedOn w:val="1"/>
    <w:link w:val="86"/>
    <w:qFormat/>
    <w:uiPriority w:val="0"/>
    <w:rPr>
      <w:rFonts w:ascii="宋体" w:hAnsi="Courier New" w:cstheme="minorBidi"/>
      <w:szCs w:val="22"/>
    </w:rPr>
  </w:style>
  <w:style w:type="paragraph" w:styleId="22">
    <w:name w:val="Date"/>
    <w:basedOn w:val="1"/>
    <w:next w:val="1"/>
    <w:link w:val="103"/>
    <w:qFormat/>
    <w:uiPriority w:val="0"/>
    <w:pPr>
      <w:ind w:left="100" w:leftChars="2500"/>
    </w:pPr>
    <w:rPr>
      <w:rFonts w:asciiTheme="minorHAnsi" w:hAnsiTheme="minorHAnsi" w:eastAsiaTheme="minorEastAsia" w:cstheme="minorBidi"/>
      <w:sz w:val="24"/>
    </w:rPr>
  </w:style>
  <w:style w:type="paragraph" w:styleId="23">
    <w:name w:val="Body Text Indent 2"/>
    <w:basedOn w:val="1"/>
    <w:link w:val="73"/>
    <w:qFormat/>
    <w:uiPriority w:val="0"/>
    <w:pPr>
      <w:spacing w:after="120" w:line="480" w:lineRule="auto"/>
      <w:ind w:left="420" w:leftChars="200"/>
    </w:pPr>
    <w:rPr>
      <w:rFonts w:asciiTheme="minorHAnsi" w:hAnsiTheme="minorHAnsi" w:eastAsiaTheme="minorEastAsia" w:cstheme="minorBidi"/>
    </w:rPr>
  </w:style>
  <w:style w:type="paragraph" w:styleId="24">
    <w:name w:val="Balloon Text"/>
    <w:basedOn w:val="1"/>
    <w:link w:val="83"/>
    <w:qFormat/>
    <w:uiPriority w:val="99"/>
    <w:rPr>
      <w:rFonts w:asciiTheme="minorHAnsi" w:hAnsiTheme="minorHAnsi" w:eastAsiaTheme="minorEastAsia" w:cstheme="minorBidi"/>
      <w:sz w:val="18"/>
      <w:szCs w:val="18"/>
    </w:rPr>
  </w:style>
  <w:style w:type="paragraph" w:styleId="25">
    <w:name w:val="footer"/>
    <w:basedOn w:val="1"/>
    <w:link w:val="50"/>
    <w:unhideWhenUsed/>
    <w:qFormat/>
    <w:uiPriority w:val="0"/>
    <w:pPr>
      <w:tabs>
        <w:tab w:val="center" w:pos="4153"/>
        <w:tab w:val="right" w:pos="8306"/>
      </w:tabs>
      <w:snapToGrid w:val="0"/>
      <w:jc w:val="left"/>
    </w:pPr>
    <w:rPr>
      <w:sz w:val="18"/>
      <w:szCs w:val="18"/>
    </w:rPr>
  </w:style>
  <w:style w:type="paragraph" w:styleId="26">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Body Text Indent 3"/>
    <w:basedOn w:val="1"/>
    <w:link w:val="94"/>
    <w:qFormat/>
    <w:uiPriority w:val="0"/>
    <w:pPr>
      <w:spacing w:line="520" w:lineRule="exact"/>
      <w:ind w:firstLine="560" w:firstLineChars="200"/>
    </w:pPr>
    <w:rPr>
      <w:rFonts w:ascii="宋体" w:hAnsi="宋体" w:eastAsiaTheme="minorEastAsia" w:cstheme="minorBidi"/>
      <w:sz w:val="28"/>
      <w:u w:val="single"/>
    </w:rPr>
  </w:style>
  <w:style w:type="paragraph" w:styleId="29">
    <w:name w:val="toc 2"/>
    <w:basedOn w:val="1"/>
    <w:next w:val="1"/>
    <w:qFormat/>
    <w:uiPriority w:val="39"/>
    <w:pPr>
      <w:tabs>
        <w:tab w:val="left" w:pos="945"/>
        <w:tab w:val="right" w:leader="dot" w:pos="8777"/>
      </w:tabs>
      <w:spacing w:line="360" w:lineRule="auto"/>
      <w:ind w:left="420" w:leftChars="200"/>
    </w:pPr>
  </w:style>
  <w:style w:type="paragraph" w:styleId="30">
    <w:name w:val="Body Text 2"/>
    <w:basedOn w:val="1"/>
    <w:link w:val="118"/>
    <w:qFormat/>
    <w:uiPriority w:val="0"/>
    <w:pPr>
      <w:spacing w:line="500" w:lineRule="atLeast"/>
      <w:ind w:right="640"/>
    </w:pPr>
    <w:rPr>
      <w:rFonts w:ascii="宋体" w:hAnsi="宋体" w:eastAsiaTheme="minorEastAsia" w:cstheme="minorBidi"/>
      <w:b/>
      <w:szCs w:val="44"/>
    </w:rPr>
  </w:style>
  <w:style w:type="paragraph" w:styleId="3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paragraph" w:styleId="33">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7"/>
    <w:next w:val="17"/>
    <w:link w:val="93"/>
    <w:semiHidden/>
    <w:qFormat/>
    <w:uiPriority w:val="0"/>
    <w:rPr>
      <w:rFonts w:asciiTheme="minorHAnsi" w:hAnsiTheme="minorHAnsi" w:eastAsiaTheme="minorEastAsia" w:cstheme="minorBidi"/>
      <w:b/>
      <w:bCs/>
    </w:rPr>
  </w:style>
  <w:style w:type="paragraph" w:styleId="36">
    <w:name w:val="Body Text First Indent"/>
    <w:basedOn w:val="2"/>
    <w:link w:val="113"/>
    <w:qFormat/>
    <w:uiPriority w:val="0"/>
    <w:pPr>
      <w:ind w:firstLine="420" w:firstLineChars="100"/>
    </w:pPr>
    <w:rPr>
      <w:rFonts w:asciiTheme="minorHAnsi" w:hAnsiTheme="minorHAnsi" w:eastAsiaTheme="minorEastAsia" w:cstheme="minorBidi"/>
    </w:rPr>
  </w:style>
  <w:style w:type="paragraph" w:styleId="37">
    <w:name w:val="Body Text First Indent 2"/>
    <w:basedOn w:val="19"/>
    <w:qFormat/>
    <w:uiPriority w:val="0"/>
    <w:pPr>
      <w:ind w:firstLine="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szCs w:val="21"/>
    </w:rPr>
  </w:style>
  <w:style w:type="paragraph" w:customStyle="1" w:styleId="46">
    <w:name w:val="样式 标题 3 + (中文) 黑体 小四 非加粗 段前: 7.8 磅 段后: 0 磅 行距: 固定值 20 磅"/>
    <w:basedOn w:val="6"/>
    <w:qFormat/>
    <w:uiPriority w:val="0"/>
    <w:pPr>
      <w:tabs>
        <w:tab w:val="clear" w:pos="5852"/>
      </w:tabs>
      <w:spacing w:before="0" w:after="0" w:line="400" w:lineRule="exact"/>
    </w:pPr>
    <w:rPr>
      <w:rFonts w:ascii="Times New Roman" w:hAnsi="Times New Roman" w:cs="宋体"/>
      <w:b w:val="0"/>
      <w:kern w:val="2"/>
      <w:sz w:val="24"/>
      <w:szCs w:val="20"/>
    </w:rPr>
  </w:style>
  <w:style w:type="paragraph" w:customStyle="1" w:styleId="47">
    <w:name w:val="标书正文1"/>
    <w:basedOn w:val="1"/>
    <w:next w:val="2"/>
    <w:qFormat/>
    <w:uiPriority w:val="0"/>
    <w:pPr>
      <w:spacing w:line="520" w:lineRule="exact"/>
      <w:ind w:firstLine="640" w:firstLineChars="200"/>
    </w:pPr>
    <w:rPr>
      <w:rFonts w:ascii="Times New Roman" w:hAnsi="Times New Roman"/>
    </w:rPr>
  </w:style>
  <w:style w:type="paragraph" w:customStyle="1" w:styleId="48">
    <w:name w:val="Fließtext"/>
    <w:basedOn w:val="1"/>
    <w:qFormat/>
    <w:uiPriority w:val="0"/>
    <w:pPr>
      <w:overflowPunct w:val="0"/>
      <w:autoSpaceDE w:val="0"/>
      <w:autoSpaceDN w:val="0"/>
      <w:adjustRightInd w:val="0"/>
      <w:textAlignment w:val="baseline"/>
    </w:pPr>
    <w:rPr>
      <w:kern w:val="28"/>
      <w:szCs w:val="20"/>
    </w:rPr>
  </w:style>
  <w:style w:type="character" w:customStyle="1" w:styleId="49">
    <w:name w:val="页眉 Char"/>
    <w:basedOn w:val="40"/>
    <w:link w:val="26"/>
    <w:qFormat/>
    <w:uiPriority w:val="0"/>
    <w:rPr>
      <w:sz w:val="18"/>
      <w:szCs w:val="18"/>
    </w:rPr>
  </w:style>
  <w:style w:type="character" w:customStyle="1" w:styleId="50">
    <w:name w:val="页脚 Char"/>
    <w:basedOn w:val="40"/>
    <w:link w:val="25"/>
    <w:qFormat/>
    <w:uiPriority w:val="0"/>
    <w:rPr>
      <w:sz w:val="18"/>
      <w:szCs w:val="18"/>
    </w:rPr>
  </w:style>
  <w:style w:type="character" w:customStyle="1" w:styleId="51">
    <w:name w:val="标题 1 Char"/>
    <w:basedOn w:val="40"/>
    <w:link w:val="3"/>
    <w:qFormat/>
    <w:uiPriority w:val="0"/>
    <w:rPr>
      <w:rFonts w:ascii="Times New Roman" w:hAnsi="Times New Roman" w:eastAsia="黑体" w:cs="Times New Roman"/>
      <w:b/>
      <w:kern w:val="44"/>
      <w:sz w:val="36"/>
      <w:szCs w:val="20"/>
      <w:lang w:val="zh-CN" w:eastAsia="zh-CN"/>
    </w:rPr>
  </w:style>
  <w:style w:type="character" w:customStyle="1" w:styleId="52">
    <w:name w:val="标题 2 Char"/>
    <w:basedOn w:val="40"/>
    <w:link w:val="4"/>
    <w:qFormat/>
    <w:uiPriority w:val="0"/>
    <w:rPr>
      <w:rFonts w:ascii="CG Times" w:hAnsi="CG Times" w:eastAsia="宋体" w:cs="Times New Roman"/>
      <w:b/>
      <w:sz w:val="30"/>
      <w:szCs w:val="20"/>
      <w:lang w:val="zh-CN" w:eastAsia="zh-CN"/>
    </w:rPr>
  </w:style>
  <w:style w:type="character" w:customStyle="1" w:styleId="53">
    <w:name w:val="标题 3 Char"/>
    <w:basedOn w:val="40"/>
    <w:link w:val="6"/>
    <w:qFormat/>
    <w:uiPriority w:val="0"/>
    <w:rPr>
      <w:rFonts w:ascii="Times New Roman" w:hAnsi="Times New Roman" w:eastAsia="宋体" w:cs="Times New Roman"/>
      <w:b/>
      <w:sz w:val="28"/>
      <w:szCs w:val="20"/>
      <w:lang w:val="zh-CN" w:eastAsia="zh-CN"/>
    </w:rPr>
  </w:style>
  <w:style w:type="character" w:customStyle="1" w:styleId="54">
    <w:name w:val="标题 4 Char"/>
    <w:basedOn w:val="40"/>
    <w:link w:val="7"/>
    <w:qFormat/>
    <w:uiPriority w:val="0"/>
    <w:rPr>
      <w:rFonts w:ascii="宋体" w:hAnsi="Times New Roman" w:eastAsia="宋体" w:cs="Times New Roman"/>
      <w:b/>
      <w:sz w:val="28"/>
      <w:szCs w:val="20"/>
      <w:lang w:val="zh-CN" w:eastAsia="zh-CN"/>
    </w:rPr>
  </w:style>
  <w:style w:type="character" w:customStyle="1" w:styleId="55">
    <w:name w:val="标题 5 Char"/>
    <w:basedOn w:val="40"/>
    <w:link w:val="9"/>
    <w:qFormat/>
    <w:uiPriority w:val="0"/>
    <w:rPr>
      <w:rFonts w:ascii="Times New Roman" w:hAnsi="Times New Roman" w:eastAsia="宋体" w:cs="Times New Roman"/>
      <w:b/>
      <w:sz w:val="28"/>
      <w:szCs w:val="20"/>
      <w:lang w:val="zh-CN" w:eastAsia="zh-CN"/>
    </w:rPr>
  </w:style>
  <w:style w:type="character" w:customStyle="1" w:styleId="56">
    <w:name w:val="标题 6 Char"/>
    <w:basedOn w:val="40"/>
    <w:link w:val="10"/>
    <w:qFormat/>
    <w:uiPriority w:val="0"/>
    <w:rPr>
      <w:rFonts w:ascii="Arial" w:hAnsi="Arial" w:eastAsia="黑体" w:cs="Times New Roman"/>
      <w:b/>
      <w:sz w:val="24"/>
      <w:szCs w:val="20"/>
      <w:lang w:val="zh-CN" w:eastAsia="zh-CN"/>
    </w:rPr>
  </w:style>
  <w:style w:type="character" w:customStyle="1" w:styleId="57">
    <w:name w:val="标题 7 Char"/>
    <w:basedOn w:val="40"/>
    <w:link w:val="11"/>
    <w:qFormat/>
    <w:uiPriority w:val="0"/>
    <w:rPr>
      <w:rFonts w:ascii="Times New Roman" w:hAnsi="Times New Roman" w:eastAsia="宋体" w:cs="Times New Roman"/>
      <w:b/>
      <w:sz w:val="24"/>
      <w:szCs w:val="20"/>
      <w:lang w:val="zh-CN" w:eastAsia="zh-CN"/>
    </w:rPr>
  </w:style>
  <w:style w:type="character" w:customStyle="1" w:styleId="58">
    <w:name w:val="标题 8 Char"/>
    <w:basedOn w:val="40"/>
    <w:link w:val="12"/>
    <w:qFormat/>
    <w:uiPriority w:val="0"/>
    <w:rPr>
      <w:rFonts w:ascii="Arial" w:hAnsi="Arial" w:eastAsia="黑体" w:cs="Times New Roman"/>
      <w:sz w:val="24"/>
      <w:szCs w:val="20"/>
      <w:lang w:val="zh-CN" w:eastAsia="zh-CN"/>
    </w:rPr>
  </w:style>
  <w:style w:type="character" w:customStyle="1" w:styleId="59">
    <w:name w:val="标题 9 Char"/>
    <w:basedOn w:val="40"/>
    <w:link w:val="13"/>
    <w:qFormat/>
    <w:uiPriority w:val="0"/>
    <w:rPr>
      <w:rFonts w:ascii="Arial" w:hAnsi="Arial" w:eastAsia="黑体" w:cs="Times New Roman"/>
      <w:szCs w:val="20"/>
      <w:lang w:val="zh-CN" w:eastAsia="zh-CN"/>
    </w:rPr>
  </w:style>
  <w:style w:type="character" w:customStyle="1" w:styleId="60">
    <w:name w:val="纯文本 Char2"/>
    <w:semiHidden/>
    <w:qFormat/>
    <w:uiPriority w:val="99"/>
    <w:rPr>
      <w:rFonts w:ascii="宋体" w:hAnsi="Courier New" w:eastAsia="宋体" w:cs="Courier New"/>
      <w:szCs w:val="21"/>
    </w:rPr>
  </w:style>
  <w:style w:type="character" w:customStyle="1" w:styleId="61">
    <w:name w:val="apple-style-span"/>
    <w:basedOn w:val="40"/>
    <w:qFormat/>
    <w:uiPriority w:val="0"/>
  </w:style>
  <w:style w:type="character" w:customStyle="1" w:styleId="62">
    <w:name w:val="HTML 预设格式 Char1"/>
    <w:semiHidden/>
    <w:qFormat/>
    <w:uiPriority w:val="99"/>
    <w:rPr>
      <w:rFonts w:ascii="Courier New" w:hAnsi="Courier New" w:eastAsia="宋体" w:cs="Courier New"/>
      <w:sz w:val="20"/>
      <w:szCs w:val="20"/>
    </w:rPr>
  </w:style>
  <w:style w:type="character" w:customStyle="1" w:styleId="63">
    <w:name w:val="正文文本 Char"/>
    <w:semiHidden/>
    <w:qFormat/>
    <w:uiPriority w:val="99"/>
  </w:style>
  <w:style w:type="character" w:customStyle="1" w:styleId="64">
    <w:name w:val="style11"/>
    <w:qFormat/>
    <w:uiPriority w:val="0"/>
    <w:rPr>
      <w:rFonts w:hint="eastAsia" w:ascii="宋体" w:hAnsi="宋体" w:eastAsia="宋体"/>
    </w:rPr>
  </w:style>
  <w:style w:type="character" w:customStyle="1" w:styleId="65">
    <w:name w:val="批注主题 Char2"/>
    <w:semiHidden/>
    <w:qFormat/>
    <w:uiPriority w:val="99"/>
    <w:rPr>
      <w:rFonts w:ascii="Times New Roman" w:hAnsi="Times New Roman" w:eastAsia="宋体" w:cs="Times New Roman"/>
      <w:b/>
      <w:bCs/>
    </w:rPr>
  </w:style>
  <w:style w:type="character" w:customStyle="1" w:styleId="66">
    <w:name w:val="正文文本缩进 3 Char1"/>
    <w:semiHidden/>
    <w:qFormat/>
    <w:uiPriority w:val="99"/>
    <w:rPr>
      <w:rFonts w:ascii="Times New Roman" w:hAnsi="Times New Roman" w:eastAsia="宋体" w:cs="Times New Roman"/>
      <w:sz w:val="16"/>
      <w:szCs w:val="16"/>
    </w:rPr>
  </w:style>
  <w:style w:type="character" w:customStyle="1" w:styleId="67">
    <w:name w:val="zw1"/>
    <w:qFormat/>
    <w:uiPriority w:val="0"/>
    <w:rPr>
      <w:sz w:val="20"/>
      <w:szCs w:val="20"/>
    </w:rPr>
  </w:style>
  <w:style w:type="character" w:customStyle="1" w:styleId="68">
    <w:name w:val="正文文本 3 Char1"/>
    <w:semiHidden/>
    <w:qFormat/>
    <w:uiPriority w:val="99"/>
    <w:rPr>
      <w:rFonts w:ascii="Times New Roman" w:hAnsi="Times New Roman" w:eastAsia="宋体" w:cs="Times New Roman"/>
      <w:sz w:val="16"/>
      <w:szCs w:val="16"/>
    </w:rPr>
  </w:style>
  <w:style w:type="character" w:customStyle="1" w:styleId="69">
    <w:name w:val="日期 Char1"/>
    <w:semiHidden/>
    <w:qFormat/>
    <w:uiPriority w:val="99"/>
    <w:rPr>
      <w:rFonts w:ascii="Times New Roman" w:hAnsi="Times New Roman" w:eastAsia="宋体" w:cs="Times New Roman"/>
    </w:rPr>
  </w:style>
  <w:style w:type="character" w:customStyle="1" w:styleId="70">
    <w:name w:val="正文首行缩进 Char1"/>
    <w:basedOn w:val="71"/>
    <w:semiHidden/>
    <w:qFormat/>
    <w:uiPriority w:val="99"/>
    <w:rPr>
      <w:kern w:val="2"/>
      <w:sz w:val="21"/>
      <w:szCs w:val="24"/>
    </w:rPr>
  </w:style>
  <w:style w:type="character" w:customStyle="1" w:styleId="71">
    <w:name w:val="正文文本 Char1"/>
    <w:qFormat/>
    <w:uiPriority w:val="99"/>
    <w:rPr>
      <w:kern w:val="2"/>
      <w:sz w:val="21"/>
      <w:szCs w:val="24"/>
    </w:rPr>
  </w:style>
  <w:style w:type="character" w:customStyle="1" w:styleId="72">
    <w:name w:val="纯文本 Char3"/>
    <w:semiHidden/>
    <w:qFormat/>
    <w:uiPriority w:val="99"/>
    <w:rPr>
      <w:rFonts w:ascii="宋体" w:hAnsi="Courier New" w:eastAsia="宋体" w:cs="Courier New"/>
      <w:szCs w:val="21"/>
    </w:rPr>
  </w:style>
  <w:style w:type="character" w:customStyle="1" w:styleId="73">
    <w:name w:val="正文文本缩进 2 Char"/>
    <w:link w:val="23"/>
    <w:qFormat/>
    <w:uiPriority w:val="0"/>
    <w:rPr>
      <w:szCs w:val="24"/>
    </w:rPr>
  </w:style>
  <w:style w:type="character" w:customStyle="1" w:styleId="74">
    <w:name w:val="WW-Absatz-Standardschriftart1"/>
    <w:qFormat/>
    <w:uiPriority w:val="0"/>
  </w:style>
  <w:style w:type="character" w:customStyle="1" w:styleId="75">
    <w:name w:val="文档结构图 Char2"/>
    <w:semiHidden/>
    <w:qFormat/>
    <w:uiPriority w:val="99"/>
    <w:rPr>
      <w:rFonts w:ascii="Microsoft YaHei UI" w:hAnsi="Times New Roman" w:eastAsia="Microsoft YaHei UI" w:cs="Times New Roman"/>
      <w:sz w:val="18"/>
      <w:szCs w:val="18"/>
    </w:rPr>
  </w:style>
  <w:style w:type="character" w:customStyle="1" w:styleId="76">
    <w:name w:val="日期 Char2"/>
    <w:semiHidden/>
    <w:qFormat/>
    <w:uiPriority w:val="99"/>
    <w:rPr>
      <w:rFonts w:ascii="Times New Roman" w:hAnsi="Times New Roman" w:eastAsia="宋体" w:cs="Times New Roman"/>
    </w:rPr>
  </w:style>
  <w:style w:type="character" w:customStyle="1" w:styleId="77">
    <w:name w:val="正文文本 Char2"/>
    <w:semiHidden/>
    <w:qFormat/>
    <w:uiPriority w:val="99"/>
    <w:rPr>
      <w:rFonts w:ascii="Times New Roman" w:hAnsi="Times New Roman" w:eastAsia="宋体" w:cs="Times New Roman"/>
    </w:rPr>
  </w:style>
  <w:style w:type="character" w:customStyle="1" w:styleId="78">
    <w:name w:val="Char Char12"/>
    <w:qFormat/>
    <w:uiPriority w:val="0"/>
    <w:rPr>
      <w:kern w:val="2"/>
      <w:sz w:val="21"/>
      <w:szCs w:val="24"/>
    </w:rPr>
  </w:style>
  <w:style w:type="character" w:customStyle="1" w:styleId="79">
    <w:name w:val="正文文本缩进 Char1"/>
    <w:semiHidden/>
    <w:qFormat/>
    <w:uiPriority w:val="99"/>
    <w:rPr>
      <w:rFonts w:ascii="Times New Roman" w:hAnsi="Times New Roman" w:eastAsia="宋体" w:cs="Times New Roman"/>
    </w:rPr>
  </w:style>
  <w:style w:type="character" w:customStyle="1" w:styleId="80">
    <w:name w:val="批注主题 Char1"/>
    <w:semiHidden/>
    <w:qFormat/>
    <w:uiPriority w:val="99"/>
    <w:rPr>
      <w:rFonts w:ascii="Times New Roman" w:hAnsi="Times New Roman" w:eastAsia="宋体" w:cs="Times New Roman"/>
      <w:b/>
      <w:bCs/>
    </w:rPr>
  </w:style>
  <w:style w:type="character" w:customStyle="1" w:styleId="81">
    <w:name w:val="批注框文本 Char1"/>
    <w:semiHidden/>
    <w:qFormat/>
    <w:uiPriority w:val="99"/>
    <w:rPr>
      <w:rFonts w:ascii="Times New Roman" w:hAnsi="Times New Roman" w:eastAsia="宋体" w:cs="Times New Roman"/>
      <w:sz w:val="18"/>
      <w:szCs w:val="18"/>
    </w:rPr>
  </w:style>
  <w:style w:type="character" w:customStyle="1" w:styleId="82">
    <w:name w:val="批注文字 Char2"/>
    <w:semiHidden/>
    <w:qFormat/>
    <w:uiPriority w:val="99"/>
    <w:rPr>
      <w:rFonts w:ascii="Times New Roman" w:hAnsi="Times New Roman" w:eastAsia="宋体" w:cs="Times New Roman"/>
    </w:rPr>
  </w:style>
  <w:style w:type="character" w:customStyle="1" w:styleId="83">
    <w:name w:val="批注框文本 Char"/>
    <w:link w:val="24"/>
    <w:qFormat/>
    <w:uiPriority w:val="99"/>
    <w:rPr>
      <w:sz w:val="18"/>
      <w:szCs w:val="18"/>
    </w:rPr>
  </w:style>
  <w:style w:type="character" w:customStyle="1" w:styleId="84">
    <w:name w:val="正文文本 2 Char1"/>
    <w:semiHidden/>
    <w:qFormat/>
    <w:uiPriority w:val="99"/>
    <w:rPr>
      <w:rFonts w:ascii="Times New Roman" w:hAnsi="Times New Roman" w:eastAsia="宋体" w:cs="Times New Roman"/>
    </w:rPr>
  </w:style>
  <w:style w:type="character" w:customStyle="1" w:styleId="85">
    <w:name w:val="文档结构图 Char1"/>
    <w:semiHidden/>
    <w:qFormat/>
    <w:uiPriority w:val="99"/>
    <w:rPr>
      <w:rFonts w:ascii="宋体" w:hAnsi="Times New Roman" w:eastAsia="宋体" w:cs="Times New Roman"/>
      <w:sz w:val="18"/>
      <w:szCs w:val="18"/>
    </w:rPr>
  </w:style>
  <w:style w:type="character" w:customStyle="1" w:styleId="86">
    <w:name w:val="纯文本 Char"/>
    <w:link w:val="21"/>
    <w:qFormat/>
    <w:uiPriority w:val="0"/>
    <w:rPr>
      <w:rFonts w:ascii="宋体" w:hAnsi="Courier New" w:eastAsia="宋体"/>
    </w:rPr>
  </w:style>
  <w:style w:type="character" w:customStyle="1" w:styleId="87">
    <w:name w:val="批注文字 Char3"/>
    <w:semiHidden/>
    <w:qFormat/>
    <w:uiPriority w:val="99"/>
    <w:rPr>
      <w:rFonts w:ascii="Times New Roman" w:hAnsi="Times New Roman" w:eastAsia="宋体" w:cs="Times New Roman"/>
    </w:rPr>
  </w:style>
  <w:style w:type="character" w:customStyle="1" w:styleId="88">
    <w:name w:val="WW-Absatz-Standardschriftart"/>
    <w:qFormat/>
    <w:uiPriority w:val="0"/>
  </w:style>
  <w:style w:type="character" w:customStyle="1" w:styleId="89">
    <w:name w:val="grame"/>
    <w:basedOn w:val="40"/>
    <w:qFormat/>
    <w:uiPriority w:val="0"/>
  </w:style>
  <w:style w:type="character" w:customStyle="1" w:styleId="90">
    <w:name w:val="正文文本缩进 3 Char2"/>
    <w:semiHidden/>
    <w:qFormat/>
    <w:uiPriority w:val="99"/>
    <w:rPr>
      <w:rFonts w:ascii="Times New Roman" w:hAnsi="Times New Roman" w:eastAsia="宋体" w:cs="Times New Roman"/>
      <w:sz w:val="16"/>
      <w:szCs w:val="16"/>
    </w:rPr>
  </w:style>
  <w:style w:type="character" w:customStyle="1" w:styleId="91">
    <w:name w:val="正文文本缩进 2 Char2"/>
    <w:semiHidden/>
    <w:qFormat/>
    <w:uiPriority w:val="99"/>
    <w:rPr>
      <w:rFonts w:ascii="Times New Roman" w:hAnsi="Times New Roman" w:eastAsia="宋体" w:cs="Times New Roman"/>
    </w:rPr>
  </w:style>
  <w:style w:type="character" w:customStyle="1" w:styleId="92">
    <w:name w:val="spelle"/>
    <w:basedOn w:val="40"/>
    <w:qFormat/>
    <w:uiPriority w:val="0"/>
  </w:style>
  <w:style w:type="character" w:customStyle="1" w:styleId="93">
    <w:name w:val="批注主题 Char"/>
    <w:link w:val="35"/>
    <w:semiHidden/>
    <w:qFormat/>
    <w:uiPriority w:val="0"/>
    <w:rPr>
      <w:b/>
      <w:bCs/>
      <w:szCs w:val="24"/>
    </w:rPr>
  </w:style>
  <w:style w:type="character" w:customStyle="1" w:styleId="94">
    <w:name w:val="正文文本缩进 3 Char"/>
    <w:link w:val="28"/>
    <w:qFormat/>
    <w:uiPriority w:val="0"/>
    <w:rPr>
      <w:rFonts w:ascii="宋体" w:hAnsi="宋体"/>
      <w:sz w:val="28"/>
      <w:szCs w:val="24"/>
      <w:u w:val="single"/>
    </w:rPr>
  </w:style>
  <w:style w:type="character" w:customStyle="1" w:styleId="95">
    <w:name w:val="正文文本 3 Char2"/>
    <w:semiHidden/>
    <w:qFormat/>
    <w:uiPriority w:val="99"/>
    <w:rPr>
      <w:rFonts w:ascii="Times New Roman" w:hAnsi="Times New Roman" w:eastAsia="宋体" w:cs="Times New Roman"/>
      <w:sz w:val="16"/>
      <w:szCs w:val="16"/>
    </w:rPr>
  </w:style>
  <w:style w:type="character" w:customStyle="1" w:styleId="96">
    <w:name w:val="Char Char121"/>
    <w:qFormat/>
    <w:uiPriority w:val="0"/>
    <w:rPr>
      <w:kern w:val="2"/>
      <w:sz w:val="21"/>
      <w:szCs w:val="24"/>
    </w:rPr>
  </w:style>
  <w:style w:type="character" w:customStyle="1" w:styleId="97">
    <w:name w:val="unnamed11"/>
    <w:qFormat/>
    <w:uiPriority w:val="0"/>
    <w:rPr>
      <w:sz w:val="26"/>
      <w:szCs w:val="26"/>
    </w:rPr>
  </w:style>
  <w:style w:type="character" w:customStyle="1" w:styleId="98">
    <w:name w:val="正文文本缩进 2 Char1"/>
    <w:semiHidden/>
    <w:qFormat/>
    <w:uiPriority w:val="99"/>
    <w:rPr>
      <w:rFonts w:ascii="Times New Roman" w:hAnsi="Times New Roman" w:eastAsia="宋体" w:cs="Times New Roman"/>
    </w:rPr>
  </w:style>
  <w:style w:type="character" w:customStyle="1" w:styleId="99">
    <w:name w:val="p121"/>
    <w:basedOn w:val="40"/>
    <w:qFormat/>
    <w:uiPriority w:val="0"/>
  </w:style>
  <w:style w:type="character" w:customStyle="1" w:styleId="100">
    <w:name w:val="正文文本缩进 Char2"/>
    <w:semiHidden/>
    <w:qFormat/>
    <w:uiPriority w:val="99"/>
    <w:rPr>
      <w:rFonts w:ascii="Times New Roman" w:hAnsi="Times New Roman" w:eastAsia="宋体" w:cs="Times New Roman"/>
    </w:rPr>
  </w:style>
  <w:style w:type="character" w:customStyle="1" w:styleId="101">
    <w:name w:val="正文文本 3 Char"/>
    <w:link w:val="18"/>
    <w:qFormat/>
    <w:uiPriority w:val="0"/>
    <w:rPr>
      <w:rFonts w:ascii="宋体" w:hAnsi="宋体"/>
      <w:szCs w:val="21"/>
    </w:rPr>
  </w:style>
  <w:style w:type="character" w:customStyle="1" w:styleId="102">
    <w:name w:val="HTML 预设格式 Char2"/>
    <w:semiHidden/>
    <w:qFormat/>
    <w:uiPriority w:val="99"/>
    <w:rPr>
      <w:rFonts w:ascii="Courier New" w:hAnsi="Courier New" w:eastAsia="宋体" w:cs="Courier New"/>
      <w:sz w:val="20"/>
      <w:szCs w:val="20"/>
    </w:rPr>
  </w:style>
  <w:style w:type="character" w:customStyle="1" w:styleId="103">
    <w:name w:val="日期 Char"/>
    <w:link w:val="22"/>
    <w:qFormat/>
    <w:uiPriority w:val="0"/>
    <w:rPr>
      <w:sz w:val="24"/>
      <w:szCs w:val="24"/>
    </w:rPr>
  </w:style>
  <w:style w:type="character" w:customStyle="1" w:styleId="104">
    <w:name w:val="正文文本缩进 Char"/>
    <w:link w:val="19"/>
    <w:qFormat/>
    <w:uiPriority w:val="0"/>
    <w:rPr>
      <w:rFonts w:ascii="宋体"/>
      <w:sz w:val="24"/>
      <w:szCs w:val="24"/>
    </w:rPr>
  </w:style>
  <w:style w:type="character" w:customStyle="1" w:styleId="105">
    <w:name w:val="WW-默认段落字体"/>
    <w:qFormat/>
    <w:uiPriority w:val="0"/>
  </w:style>
  <w:style w:type="character" w:customStyle="1" w:styleId="106">
    <w:name w:val="批注文字 Char1"/>
    <w:qFormat/>
    <w:uiPriority w:val="99"/>
    <w:rPr>
      <w:rFonts w:ascii="Times New Roman" w:hAnsi="Times New Roman" w:eastAsia="宋体" w:cs="Times New Roman"/>
    </w:rPr>
  </w:style>
  <w:style w:type="character" w:customStyle="1" w:styleId="107">
    <w:name w:val="td_txt"/>
    <w:basedOn w:val="40"/>
    <w:qFormat/>
    <w:uiPriority w:val="0"/>
  </w:style>
  <w:style w:type="character" w:customStyle="1" w:styleId="108">
    <w:name w:val="WW-WW8Num2z0"/>
    <w:qFormat/>
    <w:uiPriority w:val="0"/>
    <w:rPr>
      <w:rFonts w:ascii="Wingdings" w:hAnsi="Wingdings"/>
    </w:rPr>
  </w:style>
  <w:style w:type="character" w:customStyle="1" w:styleId="109">
    <w:name w:val="myp1111"/>
    <w:qFormat/>
    <w:uiPriority w:val="0"/>
    <w:rPr>
      <w:rFonts w:hint="default"/>
      <w:color w:val="000000"/>
      <w:sz w:val="22"/>
      <w:szCs w:val="22"/>
      <w:u w:val="none"/>
    </w:rPr>
  </w:style>
  <w:style w:type="character" w:customStyle="1" w:styleId="110">
    <w:name w:val="正文缩进 Char"/>
    <w:link w:val="5"/>
    <w:qFormat/>
    <w:locked/>
    <w:uiPriority w:val="0"/>
    <w:rPr>
      <w:rFonts w:eastAsia="宋体"/>
    </w:rPr>
  </w:style>
  <w:style w:type="character" w:customStyle="1" w:styleId="111">
    <w:name w:val="text91"/>
    <w:qFormat/>
    <w:uiPriority w:val="0"/>
    <w:rPr>
      <w:sz w:val="18"/>
      <w:szCs w:val="18"/>
      <w:u w:val="none"/>
    </w:rPr>
  </w:style>
  <w:style w:type="character" w:customStyle="1" w:styleId="112">
    <w:name w:val="文档结构图 Char"/>
    <w:link w:val="16"/>
    <w:semiHidden/>
    <w:qFormat/>
    <w:uiPriority w:val="0"/>
    <w:rPr>
      <w:szCs w:val="24"/>
      <w:shd w:val="clear" w:color="auto" w:fill="000080"/>
    </w:rPr>
  </w:style>
  <w:style w:type="character" w:customStyle="1" w:styleId="113">
    <w:name w:val="正文首行缩进 Char"/>
    <w:link w:val="36"/>
    <w:qFormat/>
    <w:uiPriority w:val="0"/>
    <w:rPr>
      <w:szCs w:val="24"/>
    </w:rPr>
  </w:style>
  <w:style w:type="character" w:customStyle="1" w:styleId="114">
    <w:name w:val="WW8Num2z0"/>
    <w:qFormat/>
    <w:uiPriority w:val="0"/>
    <w:rPr>
      <w:rFonts w:ascii="Wingdings" w:hAnsi="Wingdings"/>
    </w:rPr>
  </w:style>
  <w:style w:type="character" w:customStyle="1" w:styleId="115">
    <w:name w:val="List Paragraph Char"/>
    <w:link w:val="116"/>
    <w:qFormat/>
    <w:locked/>
    <w:uiPriority w:val="0"/>
    <w:rPr>
      <w:rFonts w:eastAsia="宋体"/>
      <w:szCs w:val="24"/>
    </w:rPr>
  </w:style>
  <w:style w:type="paragraph" w:customStyle="1" w:styleId="116">
    <w:name w:val="列出段落2"/>
    <w:basedOn w:val="1"/>
    <w:link w:val="115"/>
    <w:qFormat/>
    <w:uiPriority w:val="0"/>
    <w:pPr>
      <w:ind w:firstLine="420" w:firstLineChars="200"/>
    </w:pPr>
    <w:rPr>
      <w:rFonts w:asciiTheme="minorHAnsi" w:hAnsiTheme="minorHAnsi" w:cstheme="minorBidi"/>
    </w:rPr>
  </w:style>
  <w:style w:type="character" w:customStyle="1" w:styleId="117">
    <w:name w:val="正文首行缩进 Char2"/>
    <w:semiHidden/>
    <w:qFormat/>
    <w:uiPriority w:val="99"/>
  </w:style>
  <w:style w:type="character" w:customStyle="1" w:styleId="118">
    <w:name w:val="正文文本 2 Char"/>
    <w:link w:val="30"/>
    <w:qFormat/>
    <w:uiPriority w:val="0"/>
    <w:rPr>
      <w:rFonts w:ascii="宋体" w:hAnsi="宋体"/>
      <w:b/>
      <w:szCs w:val="44"/>
    </w:rPr>
  </w:style>
  <w:style w:type="character" w:customStyle="1" w:styleId="119">
    <w:name w:val="HTML 预设格式 Char"/>
    <w:link w:val="32"/>
    <w:qFormat/>
    <w:uiPriority w:val="0"/>
    <w:rPr>
      <w:rFonts w:ascii="宋体" w:hAnsi="宋体"/>
      <w:sz w:val="24"/>
      <w:szCs w:val="24"/>
    </w:rPr>
  </w:style>
  <w:style w:type="character" w:customStyle="1" w:styleId="120">
    <w:name w:val="批注文字 Char"/>
    <w:qFormat/>
    <w:uiPriority w:val="0"/>
    <w:rPr>
      <w:rFonts w:eastAsia="宋体"/>
      <w:sz w:val="24"/>
      <w:lang w:val="en-US" w:eastAsia="zh-CN" w:bidi="ar-SA"/>
    </w:rPr>
  </w:style>
  <w:style w:type="character" w:customStyle="1" w:styleId="121">
    <w:name w:val="批注框文本 Char2"/>
    <w:semiHidden/>
    <w:qFormat/>
    <w:uiPriority w:val="99"/>
    <w:rPr>
      <w:rFonts w:ascii="Times New Roman" w:hAnsi="Times New Roman" w:eastAsia="宋体" w:cs="Times New Roman"/>
      <w:sz w:val="18"/>
      <w:szCs w:val="18"/>
    </w:rPr>
  </w:style>
  <w:style w:type="character" w:customStyle="1" w:styleId="122">
    <w:name w:val="正文文本 2 Char2"/>
    <w:semiHidden/>
    <w:qFormat/>
    <w:uiPriority w:val="99"/>
    <w:rPr>
      <w:rFonts w:ascii="Times New Roman" w:hAnsi="Times New Roman" w:eastAsia="宋体" w:cs="Times New Roman"/>
    </w:rPr>
  </w:style>
  <w:style w:type="character" w:customStyle="1" w:styleId="123">
    <w:name w:val="纯文本 Char1"/>
    <w:semiHidden/>
    <w:qFormat/>
    <w:uiPriority w:val="99"/>
    <w:rPr>
      <w:rFonts w:ascii="宋体" w:hAnsi="Courier New" w:eastAsia="宋体" w:cs="Courier New"/>
      <w:szCs w:val="21"/>
    </w:rPr>
  </w:style>
  <w:style w:type="character" w:customStyle="1" w:styleId="124">
    <w:name w:val="UP标题3 Char Char"/>
    <w:qFormat/>
    <w:uiPriority w:val="0"/>
    <w:rPr>
      <w:rFonts w:ascii="黑体" w:eastAsia="黑体" w:cs="宋体"/>
      <w:kern w:val="2"/>
      <w:sz w:val="28"/>
      <w:szCs w:val="28"/>
      <w:lang w:val="en-US" w:eastAsia="zh-CN" w:bidi="ar-SA"/>
    </w:rPr>
  </w:style>
  <w:style w:type="paragraph" w:customStyle="1" w:styleId="125">
    <w:name w:val="编号1"/>
    <w:basedOn w:val="1"/>
    <w:qFormat/>
    <w:uiPriority w:val="0"/>
    <w:pPr>
      <w:numPr>
        <w:ilvl w:val="0"/>
        <w:numId w:val="4"/>
      </w:numPr>
      <w:suppressAutoHyphens/>
    </w:pPr>
    <w:rPr>
      <w:kern w:val="20481"/>
      <w:sz w:val="24"/>
      <w:szCs w:val="20"/>
    </w:rPr>
  </w:style>
  <w:style w:type="paragraph" w:customStyle="1" w:styleId="126">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paragraph" w:customStyle="1" w:styleId="127">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28">
    <w:name w:val="_Style 1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font11"/>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130">
    <w:name w:val="WW-正文（首行缩进两字）"/>
    <w:basedOn w:val="1"/>
    <w:qFormat/>
    <w:uiPriority w:val="0"/>
    <w:pPr>
      <w:suppressAutoHyphens/>
      <w:ind w:firstLine="420"/>
    </w:pPr>
    <w:rPr>
      <w:kern w:val="20481"/>
      <w:szCs w:val="20"/>
    </w:rPr>
  </w:style>
  <w:style w:type="paragraph" w:customStyle="1" w:styleId="131">
    <w:name w:val="font7"/>
    <w:basedOn w:val="1"/>
    <w:qFormat/>
    <w:uiPriority w:val="0"/>
    <w:pPr>
      <w:widowControl/>
      <w:spacing w:before="100" w:beforeAutospacing="1" w:after="100" w:afterAutospacing="1"/>
      <w:jc w:val="left"/>
    </w:pPr>
    <w:rPr>
      <w:rFonts w:ascii="宋体" w:hAnsi="宋体" w:cs="宋体"/>
      <w:color w:val="FF0066"/>
      <w:kern w:val="0"/>
      <w:sz w:val="20"/>
      <w:szCs w:val="20"/>
    </w:rPr>
  </w:style>
  <w:style w:type="paragraph" w:customStyle="1" w:styleId="132">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3">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p12"/>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35">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36">
    <w:name w:val="number2"/>
    <w:basedOn w:val="1"/>
    <w:qFormat/>
    <w:uiPriority w:val="0"/>
    <w:pPr>
      <w:tabs>
        <w:tab w:val="left" w:pos="1247"/>
      </w:tabs>
      <w:spacing w:after="62" w:line="288" w:lineRule="auto"/>
      <w:ind w:left="1247" w:right="-25" w:hanging="396"/>
    </w:pPr>
    <w:rPr>
      <w:szCs w:val="20"/>
    </w:rPr>
  </w:style>
  <w:style w:type="paragraph" w:customStyle="1" w:styleId="13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8">
    <w:name w:val="Char Char Char Char"/>
    <w:basedOn w:val="1"/>
    <w:qFormat/>
    <w:uiPriority w:val="0"/>
    <w:rPr>
      <w:rFonts w:ascii="Tahoma" w:hAnsi="Tahoma"/>
      <w:sz w:val="24"/>
      <w:szCs w:val="20"/>
    </w:rPr>
  </w:style>
  <w:style w:type="paragraph" w:customStyle="1" w:styleId="139">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0">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1"/>
    </w:rPr>
  </w:style>
  <w:style w:type="paragraph" w:customStyle="1" w:styleId="14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42">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0"/>
      <w:szCs w:val="20"/>
    </w:rPr>
  </w:style>
  <w:style w:type="paragraph" w:customStyle="1" w:styleId="143">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66"/>
      <w:kern w:val="0"/>
      <w:sz w:val="20"/>
      <w:szCs w:val="20"/>
    </w:rPr>
  </w:style>
  <w:style w:type="paragraph" w:customStyle="1" w:styleId="144">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0"/>
      <w:szCs w:val="20"/>
    </w:rPr>
  </w:style>
  <w:style w:type="paragraph" w:customStyle="1" w:styleId="14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6">
    <w:name w:val="批注文字 Char4"/>
    <w:basedOn w:val="40"/>
    <w:link w:val="17"/>
    <w:semiHidden/>
    <w:qFormat/>
    <w:uiPriority w:val="99"/>
    <w:rPr>
      <w:rFonts w:ascii="Times New Roman" w:hAnsi="Times New Roman" w:eastAsia="宋体" w:cs="Times New Roman"/>
      <w:szCs w:val="24"/>
    </w:rPr>
  </w:style>
  <w:style w:type="character" w:customStyle="1" w:styleId="147">
    <w:name w:val="批注主题 Char3"/>
    <w:basedOn w:val="146"/>
    <w:semiHidden/>
    <w:qFormat/>
    <w:uiPriority w:val="99"/>
    <w:rPr>
      <w:rFonts w:ascii="Times New Roman" w:hAnsi="Times New Roman" w:eastAsia="宋体" w:cs="Times New Roman"/>
      <w:b/>
      <w:bCs/>
      <w:szCs w:val="24"/>
    </w:rPr>
  </w:style>
  <w:style w:type="paragraph" w:customStyle="1" w:styleId="148">
    <w:name w:val="Char"/>
    <w:basedOn w:val="1"/>
    <w:qFormat/>
    <w:uiPriority w:val="0"/>
    <w:rPr>
      <w:rFonts w:ascii="Tahoma" w:hAnsi="Tahoma"/>
      <w:sz w:val="24"/>
      <w:szCs w:val="20"/>
    </w:rPr>
  </w:style>
  <w:style w:type="character" w:customStyle="1" w:styleId="149">
    <w:name w:val="文档结构图 Char3"/>
    <w:basedOn w:val="40"/>
    <w:semiHidden/>
    <w:qFormat/>
    <w:uiPriority w:val="99"/>
    <w:rPr>
      <w:rFonts w:ascii="宋体" w:hAnsi="Times New Roman" w:eastAsia="宋体" w:cs="Times New Roman"/>
      <w:sz w:val="18"/>
      <w:szCs w:val="18"/>
    </w:rPr>
  </w:style>
  <w:style w:type="paragraph" w:customStyle="1" w:styleId="150">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51">
    <w:name w:val="正文文本 Char3"/>
    <w:basedOn w:val="40"/>
    <w:link w:val="2"/>
    <w:semiHidden/>
    <w:qFormat/>
    <w:uiPriority w:val="99"/>
    <w:rPr>
      <w:rFonts w:ascii="Times New Roman" w:hAnsi="Times New Roman" w:eastAsia="宋体" w:cs="Times New Roman"/>
      <w:szCs w:val="24"/>
    </w:rPr>
  </w:style>
  <w:style w:type="character" w:customStyle="1" w:styleId="152">
    <w:name w:val="正文首行缩进 Char3"/>
    <w:basedOn w:val="151"/>
    <w:semiHidden/>
    <w:qFormat/>
    <w:uiPriority w:val="99"/>
    <w:rPr>
      <w:rFonts w:ascii="Times New Roman" w:hAnsi="Times New Roman" w:eastAsia="宋体" w:cs="Times New Roman"/>
      <w:szCs w:val="24"/>
    </w:rPr>
  </w:style>
  <w:style w:type="character" w:customStyle="1" w:styleId="153">
    <w:name w:val="HTML 预设格式 Char3"/>
    <w:basedOn w:val="40"/>
    <w:semiHidden/>
    <w:qFormat/>
    <w:uiPriority w:val="99"/>
    <w:rPr>
      <w:rFonts w:ascii="Courier New" w:hAnsi="Courier New" w:eastAsia="宋体" w:cs="Courier New"/>
      <w:sz w:val="20"/>
      <w:szCs w:val="20"/>
    </w:rPr>
  </w:style>
  <w:style w:type="character" w:customStyle="1" w:styleId="154">
    <w:name w:val="正文文本 2 Char3"/>
    <w:basedOn w:val="40"/>
    <w:semiHidden/>
    <w:qFormat/>
    <w:uiPriority w:val="99"/>
    <w:rPr>
      <w:rFonts w:ascii="Times New Roman" w:hAnsi="Times New Roman" w:eastAsia="宋体" w:cs="Times New Roman"/>
      <w:szCs w:val="24"/>
    </w:rPr>
  </w:style>
  <w:style w:type="character" w:customStyle="1" w:styleId="155">
    <w:name w:val="批注框文本 Char3"/>
    <w:basedOn w:val="40"/>
    <w:semiHidden/>
    <w:qFormat/>
    <w:uiPriority w:val="99"/>
    <w:rPr>
      <w:rFonts w:ascii="Times New Roman" w:hAnsi="Times New Roman" w:eastAsia="宋体" w:cs="Times New Roman"/>
      <w:sz w:val="18"/>
      <w:szCs w:val="18"/>
    </w:rPr>
  </w:style>
  <w:style w:type="character" w:customStyle="1" w:styleId="156">
    <w:name w:val="正文文本缩进 2 Char3"/>
    <w:basedOn w:val="40"/>
    <w:semiHidden/>
    <w:qFormat/>
    <w:uiPriority w:val="99"/>
    <w:rPr>
      <w:rFonts w:ascii="Times New Roman" w:hAnsi="Times New Roman" w:eastAsia="宋体" w:cs="Times New Roman"/>
      <w:szCs w:val="24"/>
    </w:rPr>
  </w:style>
  <w:style w:type="character" w:customStyle="1" w:styleId="157">
    <w:name w:val="正文文本 3 Char3"/>
    <w:basedOn w:val="40"/>
    <w:semiHidden/>
    <w:qFormat/>
    <w:uiPriority w:val="99"/>
    <w:rPr>
      <w:rFonts w:ascii="Times New Roman" w:hAnsi="Times New Roman" w:eastAsia="宋体" w:cs="Times New Roman"/>
      <w:sz w:val="16"/>
      <w:szCs w:val="16"/>
    </w:rPr>
  </w:style>
  <w:style w:type="character" w:customStyle="1" w:styleId="158">
    <w:name w:val="正文文本缩进 3 Char3"/>
    <w:basedOn w:val="40"/>
    <w:semiHidden/>
    <w:qFormat/>
    <w:uiPriority w:val="99"/>
    <w:rPr>
      <w:rFonts w:ascii="Times New Roman" w:hAnsi="Times New Roman" w:eastAsia="宋体" w:cs="Times New Roman"/>
      <w:sz w:val="16"/>
      <w:szCs w:val="16"/>
    </w:rPr>
  </w:style>
  <w:style w:type="character" w:customStyle="1" w:styleId="159">
    <w:name w:val="正文文本缩进 Char3"/>
    <w:basedOn w:val="40"/>
    <w:semiHidden/>
    <w:qFormat/>
    <w:uiPriority w:val="99"/>
    <w:rPr>
      <w:rFonts w:ascii="Times New Roman" w:hAnsi="Times New Roman" w:eastAsia="宋体" w:cs="Times New Roman"/>
      <w:szCs w:val="24"/>
    </w:rPr>
  </w:style>
  <w:style w:type="paragraph" w:customStyle="1" w:styleId="160">
    <w:name w:val="Char Char Char Char Char Char1 Char1"/>
    <w:basedOn w:val="1"/>
    <w:qFormat/>
    <w:uiPriority w:val="0"/>
    <w:rPr>
      <w:rFonts w:ascii="Tahoma" w:hAnsi="Tahoma"/>
      <w:sz w:val="24"/>
      <w:szCs w:val="20"/>
    </w:rPr>
  </w:style>
  <w:style w:type="character" w:customStyle="1" w:styleId="161">
    <w:name w:val="纯文本 Char4"/>
    <w:basedOn w:val="40"/>
    <w:semiHidden/>
    <w:qFormat/>
    <w:uiPriority w:val="99"/>
    <w:rPr>
      <w:rFonts w:ascii="宋体" w:hAnsi="Courier New" w:eastAsia="宋体" w:cs="Courier New"/>
      <w:szCs w:val="21"/>
    </w:rPr>
  </w:style>
  <w:style w:type="paragraph" w:customStyle="1" w:styleId="162">
    <w:name w:val="Char Char1"/>
    <w:basedOn w:val="1"/>
    <w:qFormat/>
    <w:uiPriority w:val="0"/>
    <w:rPr>
      <w:rFonts w:ascii="Tahoma" w:hAnsi="Tahoma"/>
      <w:sz w:val="24"/>
      <w:szCs w:val="20"/>
    </w:rPr>
  </w:style>
  <w:style w:type="character" w:customStyle="1" w:styleId="163">
    <w:name w:val="日期 Char3"/>
    <w:basedOn w:val="40"/>
    <w:semiHidden/>
    <w:qFormat/>
    <w:uiPriority w:val="99"/>
    <w:rPr>
      <w:rFonts w:ascii="Times New Roman" w:hAnsi="Times New Roman" w:eastAsia="宋体" w:cs="Times New Roman"/>
      <w:szCs w:val="24"/>
    </w:rPr>
  </w:style>
  <w:style w:type="paragraph" w:customStyle="1" w:styleId="164">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5">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166">
    <w:name w:val="Char1 Char Char Char Char Char Char"/>
    <w:basedOn w:val="1"/>
    <w:qFormat/>
    <w:uiPriority w:val="0"/>
    <w:rPr>
      <w:rFonts w:ascii="Tahoma" w:hAnsi="Tahoma"/>
      <w:sz w:val="24"/>
      <w:szCs w:val="20"/>
    </w:rPr>
  </w:style>
  <w:style w:type="paragraph" w:customStyle="1" w:styleId="167">
    <w:name w:val="number1"/>
    <w:basedOn w:val="1"/>
    <w:qFormat/>
    <w:uiPriority w:val="0"/>
    <w:pPr>
      <w:tabs>
        <w:tab w:val="left" w:pos="840"/>
      </w:tabs>
      <w:spacing w:after="30" w:line="360" w:lineRule="auto"/>
      <w:ind w:left="840" w:hanging="420"/>
    </w:pPr>
    <w:rPr>
      <w:rFonts w:ascii="Arial" w:hAnsi="Arial"/>
      <w:sz w:val="24"/>
      <w:szCs w:val="20"/>
    </w:rPr>
  </w:style>
  <w:style w:type="paragraph" w:customStyle="1" w:styleId="168">
    <w:name w:val="Char1 Char Char Char Char Char Char1"/>
    <w:basedOn w:val="1"/>
    <w:qFormat/>
    <w:uiPriority w:val="0"/>
    <w:rPr>
      <w:rFonts w:ascii="Tahoma" w:hAnsi="Tahoma"/>
      <w:sz w:val="24"/>
      <w:szCs w:val="20"/>
    </w:rPr>
  </w:style>
  <w:style w:type="paragraph" w:customStyle="1" w:styleId="169">
    <w:name w:val="WW-正文文字缩进 2"/>
    <w:basedOn w:val="1"/>
    <w:qFormat/>
    <w:uiPriority w:val="0"/>
    <w:pPr>
      <w:suppressAutoHyphens/>
      <w:ind w:firstLine="420"/>
    </w:pPr>
    <w:rPr>
      <w:kern w:val="20481"/>
      <w:sz w:val="24"/>
      <w:szCs w:val="20"/>
    </w:rPr>
  </w:style>
  <w:style w:type="paragraph" w:customStyle="1" w:styleId="1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71">
    <w:name w:val="Char Char Char Char Char Char1 Char"/>
    <w:basedOn w:val="1"/>
    <w:qFormat/>
    <w:uiPriority w:val="0"/>
    <w:rPr>
      <w:rFonts w:ascii="Tahoma" w:hAnsi="Tahoma"/>
      <w:sz w:val="24"/>
      <w:szCs w:val="20"/>
    </w:rPr>
  </w:style>
  <w:style w:type="paragraph" w:customStyle="1" w:styleId="172">
    <w:name w:val="标题（基准）"/>
    <w:basedOn w:val="1"/>
    <w:next w:val="2"/>
    <w:qFormat/>
    <w:uiPriority w:val="0"/>
    <w:pPr>
      <w:keepNext/>
      <w:suppressAutoHyphens/>
      <w:spacing w:before="180" w:after="180" w:line="360" w:lineRule="auto"/>
    </w:pPr>
    <w:rPr>
      <w:rFonts w:ascii="Arial" w:hAnsi="Arial"/>
      <w:kern w:val="20481"/>
      <w:sz w:val="28"/>
      <w:szCs w:val="20"/>
    </w:rPr>
  </w:style>
  <w:style w:type="paragraph" w:customStyle="1" w:styleId="173">
    <w:name w:val="unnamed1"/>
    <w:basedOn w:val="1"/>
    <w:qFormat/>
    <w:uiPriority w:val="0"/>
    <w:pPr>
      <w:widowControl/>
      <w:spacing w:before="100" w:beforeAutospacing="1" w:after="100" w:afterAutospacing="1" w:line="450" w:lineRule="atLeast"/>
      <w:jc w:val="left"/>
    </w:pPr>
    <w:rPr>
      <w:rFonts w:ascii="宋体" w:hAnsi="宋体"/>
      <w:kern w:val="0"/>
      <w:szCs w:val="21"/>
    </w:rPr>
  </w:style>
  <w:style w:type="paragraph" w:customStyle="1" w:styleId="174">
    <w:name w:val="样式 标题 1 + 五号 居中 段前: 0 磅"/>
    <w:basedOn w:val="3"/>
    <w:qFormat/>
    <w:uiPriority w:val="0"/>
    <w:pPr>
      <w:suppressAutoHyphens/>
      <w:spacing w:before="0" w:line="480" w:lineRule="auto"/>
      <w:ind w:left="0"/>
    </w:pPr>
    <w:rPr>
      <w:rFonts w:eastAsia="宋体" w:cs="宋体"/>
      <w:bCs/>
      <w:kern w:val="17153"/>
      <w:sz w:val="32"/>
    </w:rPr>
  </w:style>
  <w:style w:type="paragraph" w:customStyle="1" w:styleId="17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76">
    <w:name w:val="表格内容"/>
    <w:basedOn w:val="2"/>
    <w:qFormat/>
    <w:uiPriority w:val="0"/>
    <w:pPr>
      <w:numPr>
        <w:ilvl w:val="0"/>
        <w:numId w:val="5"/>
      </w:numPr>
      <w:suppressLineNumbers/>
      <w:suppressAutoHyphens/>
    </w:pPr>
    <w:rPr>
      <w:kern w:val="20481"/>
      <w:szCs w:val="20"/>
      <w:lang w:val="zh-CN"/>
    </w:rPr>
  </w:style>
  <w:style w:type="paragraph" w:customStyle="1" w:styleId="177">
    <w:name w:val="Char1"/>
    <w:basedOn w:val="1"/>
    <w:qFormat/>
    <w:uiPriority w:val="0"/>
  </w:style>
  <w:style w:type="paragraph" w:customStyle="1" w:styleId="178">
    <w:name w:val="样式 标题 3 + 五号 居中"/>
    <w:basedOn w:val="6"/>
    <w:qFormat/>
    <w:uiPriority w:val="0"/>
    <w:pPr>
      <w:keepNext w:val="0"/>
      <w:pageBreakBefore/>
      <w:numPr>
        <w:ilvl w:val="2"/>
        <w:numId w:val="1"/>
      </w:numPr>
      <w:tabs>
        <w:tab w:val="clear" w:pos="5852"/>
      </w:tabs>
      <w:suppressAutoHyphens/>
      <w:snapToGrid/>
      <w:spacing w:before="260" w:after="260" w:line="408" w:lineRule="auto"/>
      <w:jc w:val="center"/>
    </w:pPr>
    <w:rPr>
      <w:rFonts w:cs="宋体"/>
      <w:bCs/>
      <w:kern w:val="20481"/>
    </w:rPr>
  </w:style>
  <w:style w:type="paragraph" w:customStyle="1" w:styleId="179">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80">
    <w:name w:val="样式3"/>
    <w:basedOn w:val="21"/>
    <w:qFormat/>
    <w:uiPriority w:val="0"/>
    <w:pPr>
      <w:spacing w:line="0" w:lineRule="atLeast"/>
      <w:outlineLvl w:val="0"/>
    </w:pPr>
    <w:rPr>
      <w:sz w:val="28"/>
    </w:rPr>
  </w:style>
  <w:style w:type="paragraph" w:customStyle="1" w:styleId="181">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82">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列出段落1"/>
    <w:basedOn w:val="1"/>
    <w:qFormat/>
    <w:uiPriority w:val="0"/>
    <w:pPr>
      <w:ind w:firstLine="420" w:firstLineChars="200"/>
    </w:pPr>
  </w:style>
  <w:style w:type="paragraph" w:customStyle="1" w:styleId="184">
    <w:name w:val="Char11"/>
    <w:basedOn w:val="1"/>
    <w:qFormat/>
    <w:uiPriority w:val="0"/>
  </w:style>
  <w:style w:type="paragraph" w:customStyle="1" w:styleId="185">
    <w:name w:val="正文列表编号"/>
    <w:basedOn w:val="2"/>
    <w:qFormat/>
    <w:uiPriority w:val="0"/>
    <w:pPr>
      <w:widowControl/>
      <w:spacing w:before="20" w:after="20" w:line="300" w:lineRule="auto"/>
      <w:ind w:left="774" w:leftChars="210" w:right="803" w:rightChars="250" w:hanging="99"/>
      <w:jc w:val="left"/>
    </w:pPr>
    <w:rPr>
      <w:rFonts w:ascii="仿宋_GB2312" w:hAnsi="Arial" w:eastAsia="仿宋_GB2312"/>
      <w:kern w:val="0"/>
      <w:sz w:val="24"/>
      <w:szCs w:val="20"/>
    </w:rPr>
  </w:style>
  <w:style w:type="paragraph" w:customStyle="1" w:styleId="186">
    <w:name w:val="样式1"/>
    <w:basedOn w:val="3"/>
    <w:qFormat/>
    <w:uiPriority w:val="0"/>
    <w:pPr>
      <w:numPr>
        <w:numId w:val="0"/>
      </w:numPr>
      <w:tabs>
        <w:tab w:val="left" w:pos="816"/>
      </w:tabs>
      <w:spacing w:line="0" w:lineRule="atLeast"/>
      <w:ind w:left="816" w:hanging="816"/>
    </w:pPr>
    <w:rPr>
      <w:b w:val="0"/>
    </w:rPr>
  </w:style>
  <w:style w:type="paragraph" w:customStyle="1" w:styleId="187">
    <w:name w:val="xl6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88">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189">
    <w:name w:val="Char Char"/>
    <w:basedOn w:val="1"/>
    <w:qFormat/>
    <w:uiPriority w:val="0"/>
    <w:rPr>
      <w:rFonts w:ascii="Tahoma" w:hAnsi="Tahoma"/>
      <w:sz w:val="24"/>
      <w:szCs w:val="20"/>
    </w:rPr>
  </w:style>
  <w:style w:type="paragraph" w:customStyle="1" w:styleId="190">
    <w:name w:val="WW-文档结构图"/>
    <w:basedOn w:val="1"/>
    <w:qFormat/>
    <w:uiPriority w:val="0"/>
    <w:pPr>
      <w:shd w:val="clear" w:color="FFFFFF" w:fill="000080"/>
      <w:suppressAutoHyphens/>
    </w:pPr>
    <w:rPr>
      <w:kern w:val="20481"/>
      <w:szCs w:val="20"/>
    </w:rPr>
  </w:style>
  <w:style w:type="paragraph" w:customStyle="1" w:styleId="191">
    <w:name w:val="xl28"/>
    <w:basedOn w:val="1"/>
    <w:qFormat/>
    <w:uiPriority w:val="0"/>
    <w:pPr>
      <w:widowControl/>
      <w:spacing w:before="100" w:beforeAutospacing="1" w:after="100" w:afterAutospacing="1"/>
      <w:textAlignment w:val="top"/>
    </w:pPr>
    <w:rPr>
      <w:rFonts w:ascii="Arial Unicode MS" w:hAnsi="Arial Unicode MS" w:eastAsia="Arial Unicode MS"/>
      <w:kern w:val="0"/>
      <w:sz w:val="24"/>
    </w:rPr>
  </w:style>
  <w:style w:type="paragraph" w:customStyle="1" w:styleId="192">
    <w:name w:val="Char Char Char Char2"/>
    <w:basedOn w:val="16"/>
    <w:qFormat/>
    <w:uiPriority w:val="0"/>
    <w:pPr>
      <w:adjustRightInd w:val="0"/>
      <w:snapToGrid w:val="0"/>
      <w:spacing w:line="360" w:lineRule="auto"/>
    </w:pPr>
    <w:rPr>
      <w:szCs w:val="20"/>
    </w:rPr>
  </w:style>
  <w:style w:type="paragraph" w:customStyle="1" w:styleId="193">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paragraph" w:customStyle="1" w:styleId="194">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95">
    <w:name w:val="TableTextCenter"/>
    <w:basedOn w:val="1"/>
    <w:qFormat/>
    <w:uiPriority w:val="0"/>
    <w:pPr>
      <w:widowControl/>
      <w:suppressAutoHyphens/>
      <w:spacing w:line="240" w:lineRule="exact"/>
      <w:ind w:right="43"/>
      <w:jc w:val="center"/>
    </w:pPr>
    <w:rPr>
      <w:rFonts w:ascii="Univers 57 Condensed" w:hAnsi="Univers 57 Condensed"/>
      <w:kern w:val="17153"/>
      <w:sz w:val="20"/>
      <w:szCs w:val="20"/>
    </w:rPr>
  </w:style>
  <w:style w:type="paragraph" w:customStyle="1" w:styleId="196">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97">
    <w:name w:val="_Style 35"/>
    <w:basedOn w:val="1"/>
    <w:qFormat/>
    <w:uiPriority w:val="0"/>
    <w:rPr>
      <w:rFonts w:ascii="Tahoma" w:hAnsi="Tahoma"/>
      <w:sz w:val="24"/>
      <w:szCs w:val="20"/>
    </w:rPr>
  </w:style>
  <w:style w:type="paragraph" w:customStyle="1" w:styleId="198">
    <w:name w:val="TableTextFirstColumn"/>
    <w:basedOn w:val="1"/>
    <w:qFormat/>
    <w:uiPriority w:val="0"/>
    <w:pPr>
      <w:widowControl/>
      <w:suppressAutoHyphens/>
      <w:spacing w:line="240" w:lineRule="exact"/>
      <w:ind w:right="43"/>
      <w:jc w:val="left"/>
    </w:pPr>
    <w:rPr>
      <w:rFonts w:ascii="Univers 47 CondensedLight" w:hAnsi="Univers 47 CondensedLight"/>
      <w:b/>
      <w:kern w:val="17153"/>
      <w:sz w:val="20"/>
      <w:szCs w:val="20"/>
    </w:rPr>
  </w:style>
  <w:style w:type="paragraph" w:customStyle="1" w:styleId="19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00">
    <w:name w:val="font8"/>
    <w:basedOn w:val="1"/>
    <w:qFormat/>
    <w:uiPriority w:val="0"/>
    <w:pPr>
      <w:widowControl/>
      <w:spacing w:before="100" w:beforeAutospacing="1" w:after="100" w:afterAutospacing="1"/>
      <w:jc w:val="left"/>
    </w:pPr>
    <w:rPr>
      <w:rFonts w:ascii="宋体" w:hAnsi="宋体" w:cs="宋体"/>
      <w:b/>
      <w:bCs/>
      <w:color w:val="FF0066"/>
      <w:kern w:val="0"/>
      <w:sz w:val="20"/>
      <w:szCs w:val="20"/>
    </w:rPr>
  </w:style>
  <w:style w:type="paragraph" w:customStyle="1" w:styleId="201">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02">
    <w:name w:val="标准"/>
    <w:basedOn w:val="1"/>
    <w:qFormat/>
    <w:uiPriority w:val="0"/>
    <w:pPr>
      <w:spacing w:line="360" w:lineRule="auto"/>
      <w:ind w:firstLine="200" w:firstLineChars="200"/>
    </w:pPr>
    <w:rPr>
      <w:rFonts w:cs="宋体"/>
      <w:szCs w:val="20"/>
    </w:rPr>
  </w:style>
  <w:style w:type="paragraph" w:customStyle="1" w:styleId="203">
    <w:name w:val="font12"/>
    <w:basedOn w:val="1"/>
    <w:qFormat/>
    <w:uiPriority w:val="0"/>
    <w:pPr>
      <w:widowControl/>
      <w:spacing w:before="100" w:beforeAutospacing="1" w:after="100" w:afterAutospacing="1"/>
      <w:jc w:val="left"/>
    </w:pPr>
    <w:rPr>
      <w:rFonts w:ascii="宋体" w:hAnsi="宋体" w:cs="宋体"/>
      <w:color w:val="FF33CC"/>
      <w:kern w:val="0"/>
      <w:sz w:val="20"/>
      <w:szCs w:val="20"/>
    </w:rPr>
  </w:style>
  <w:style w:type="paragraph" w:customStyle="1" w:styleId="204">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6">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7">
    <w:name w:val="样式 正文缩进正文（首行缩进两字）特点ALT+Z表正文正文非缩进四号段1Normal Indent Char2...4"/>
    <w:basedOn w:val="19"/>
    <w:next w:val="25"/>
    <w:qFormat/>
    <w:uiPriority w:val="0"/>
    <w:pPr>
      <w:numPr>
        <w:ilvl w:val="4"/>
        <w:numId w:val="6"/>
      </w:numPr>
      <w:tabs>
        <w:tab w:val="left" w:pos="0"/>
        <w:tab w:val="left" w:pos="993"/>
        <w:tab w:val="left" w:pos="1134"/>
      </w:tabs>
      <w:spacing w:line="300" w:lineRule="auto"/>
    </w:pPr>
    <w:rPr>
      <w:color w:val="000000"/>
    </w:rPr>
  </w:style>
  <w:style w:type="paragraph" w:customStyle="1" w:styleId="208">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9">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10">
    <w:name w:val="Char Char Char Char1"/>
    <w:basedOn w:val="16"/>
    <w:qFormat/>
    <w:uiPriority w:val="0"/>
  </w:style>
  <w:style w:type="paragraph" w:customStyle="1" w:styleId="211">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12">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13">
    <w:name w:val="_Style 40"/>
    <w:basedOn w:val="16"/>
    <w:qFormat/>
    <w:uiPriority w:val="0"/>
    <w:rPr>
      <w:szCs w:val="20"/>
    </w:rPr>
  </w:style>
  <w:style w:type="paragraph" w:customStyle="1" w:styleId="214">
    <w:name w:val="(文字) (文字)"/>
    <w:basedOn w:val="1"/>
    <w:qFormat/>
    <w:uiPriority w:val="0"/>
    <w:rPr>
      <w:rFonts w:ascii="Tahoma" w:hAnsi="Tahoma"/>
      <w:sz w:val="24"/>
      <w:szCs w:val="20"/>
    </w:rPr>
  </w:style>
  <w:style w:type="paragraph" w:customStyle="1" w:styleId="215">
    <w:name w:val="xl7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Char Char Char"/>
    <w:basedOn w:val="1"/>
    <w:qFormat/>
    <w:uiPriority w:val="0"/>
    <w:pPr>
      <w:snapToGrid w:val="0"/>
    </w:pPr>
    <w:rPr>
      <w:rFonts w:ascii="Tahoma" w:hAnsi="Tahoma"/>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219">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0">
    <w:name w:val="Char2"/>
    <w:basedOn w:val="1"/>
    <w:qFormat/>
    <w:uiPriority w:val="0"/>
    <w:rPr>
      <w:rFonts w:ascii="Tahoma" w:hAnsi="Tahoma"/>
      <w:sz w:val="24"/>
      <w:szCs w:val="20"/>
    </w:rPr>
  </w:style>
  <w:style w:type="paragraph" w:customStyle="1" w:styleId="221">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222">
    <w:name w:val="(文字) (文字)1"/>
    <w:basedOn w:val="1"/>
    <w:qFormat/>
    <w:uiPriority w:val="0"/>
    <w:rPr>
      <w:rFonts w:ascii="Tahoma" w:hAnsi="Tahoma"/>
      <w:sz w:val="24"/>
      <w:szCs w:val="20"/>
    </w:rPr>
  </w:style>
  <w:style w:type="paragraph" w:customStyle="1" w:styleId="223">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FF0000"/>
      <w:kern w:val="0"/>
      <w:sz w:val="20"/>
      <w:szCs w:val="20"/>
    </w:rPr>
  </w:style>
  <w:style w:type="paragraph" w:customStyle="1" w:styleId="224">
    <w:name w:val="样式2"/>
    <w:basedOn w:val="2"/>
    <w:qFormat/>
    <w:uiPriority w:val="0"/>
    <w:pPr>
      <w:spacing w:after="0" w:line="400" w:lineRule="exact"/>
      <w:jc w:val="center"/>
    </w:pPr>
    <w:rPr>
      <w:rFonts w:ascii="宋体" w:hAnsi="宋体"/>
      <w:bCs/>
      <w:sz w:val="24"/>
      <w:lang w:val="zh-CN"/>
    </w:rPr>
  </w:style>
  <w:style w:type="paragraph" w:customStyle="1" w:styleId="225">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26">
    <w:name w:val="Char Char Char Char Char Char Char1"/>
    <w:basedOn w:val="1"/>
    <w:qFormat/>
    <w:uiPriority w:val="0"/>
    <w:pPr>
      <w:ind w:firstLine="617" w:firstLineChars="257"/>
    </w:pPr>
    <w:rPr>
      <w:rFonts w:ascii="仿宋_GB2312" w:hAnsi="Tahoma" w:eastAsia="仿宋_GB2312" w:cs="Arial"/>
      <w:sz w:val="24"/>
    </w:rPr>
  </w:style>
  <w:style w:type="paragraph" w:customStyle="1" w:styleId="22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xl70"/>
    <w:basedOn w:val="1"/>
    <w:qFormat/>
    <w:uiPriority w:val="0"/>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2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WW-日期"/>
    <w:basedOn w:val="1"/>
    <w:next w:val="1"/>
    <w:qFormat/>
    <w:uiPriority w:val="0"/>
    <w:pPr>
      <w:suppressAutoHyphens/>
      <w:ind w:left="100" w:firstLine="1"/>
    </w:pPr>
    <w:rPr>
      <w:kern w:val="20481"/>
      <w:sz w:val="32"/>
      <w:szCs w:val="20"/>
    </w:rPr>
  </w:style>
  <w:style w:type="paragraph" w:customStyle="1" w:styleId="231">
    <w:name w:val="Char Char1 Char Char Char Char"/>
    <w:basedOn w:val="1"/>
    <w:qFormat/>
    <w:uiPriority w:val="0"/>
    <w:rPr>
      <w:rFonts w:ascii="Tahoma" w:hAnsi="Tahoma"/>
      <w:sz w:val="24"/>
      <w:szCs w:val="20"/>
    </w:rPr>
  </w:style>
  <w:style w:type="paragraph" w:customStyle="1" w:styleId="232">
    <w:name w:val="_Style 20"/>
    <w:basedOn w:val="1"/>
    <w:qFormat/>
    <w:uiPriority w:val="0"/>
    <w:pPr>
      <w:widowControl/>
      <w:spacing w:after="160" w:line="240" w:lineRule="exact"/>
      <w:jc w:val="left"/>
    </w:pPr>
    <w:rPr>
      <w:szCs w:val="20"/>
    </w:rPr>
  </w:style>
  <w:style w:type="paragraph" w:customStyle="1" w:styleId="233">
    <w:name w:val="5"/>
    <w:basedOn w:val="1"/>
    <w:next w:val="23"/>
    <w:qFormat/>
    <w:uiPriority w:val="0"/>
    <w:pPr>
      <w:spacing w:line="360" w:lineRule="auto"/>
      <w:ind w:firstLine="420" w:firstLineChars="200"/>
    </w:pPr>
    <w:rPr>
      <w:rFonts w:ascii="仿宋_GB2312" w:eastAsia="仿宋_GB2312"/>
    </w:rPr>
  </w:style>
  <w:style w:type="paragraph" w:customStyle="1" w:styleId="234">
    <w:name w:val="Char Char Char Char Char Char1 Char2"/>
    <w:basedOn w:val="1"/>
    <w:qFormat/>
    <w:uiPriority w:val="0"/>
    <w:rPr>
      <w:rFonts w:ascii="Tahoma" w:hAnsi="Tahoma"/>
      <w:sz w:val="24"/>
      <w:szCs w:val="20"/>
    </w:rPr>
  </w:style>
  <w:style w:type="paragraph" w:customStyle="1" w:styleId="235">
    <w:name w:val="a"/>
    <w:basedOn w:val="1"/>
    <w:qFormat/>
    <w:uiPriority w:val="0"/>
    <w:pPr>
      <w:widowControl/>
      <w:spacing w:before="100" w:beforeAutospacing="1" w:after="100" w:afterAutospacing="1"/>
      <w:jc w:val="left"/>
    </w:pPr>
    <w:rPr>
      <w:rFonts w:ascii="宋体" w:hAnsi="宋体"/>
      <w:kern w:val="0"/>
      <w:sz w:val="24"/>
    </w:rPr>
  </w:style>
  <w:style w:type="paragraph" w:customStyle="1" w:styleId="236">
    <w:name w:val="Char Char1 Char Char Char"/>
    <w:basedOn w:val="16"/>
    <w:qFormat/>
    <w:uiPriority w:val="0"/>
  </w:style>
  <w:style w:type="paragraph" w:customStyle="1" w:styleId="237">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样式 标题 1 + 五号 居中"/>
    <w:basedOn w:val="3"/>
    <w:qFormat/>
    <w:uiPriority w:val="0"/>
    <w:pPr>
      <w:suppressAutoHyphens/>
      <w:spacing w:line="480" w:lineRule="auto"/>
      <w:ind w:left="0"/>
    </w:pPr>
    <w:rPr>
      <w:rFonts w:eastAsia="宋体" w:cs="宋体"/>
      <w:bCs/>
      <w:kern w:val="17153"/>
      <w:sz w:val="32"/>
    </w:rPr>
  </w:style>
  <w:style w:type="paragraph" w:customStyle="1" w:styleId="239">
    <w:name w:val="_Style 401"/>
    <w:basedOn w:val="1"/>
    <w:qFormat/>
    <w:uiPriority w:val="0"/>
    <w:pPr>
      <w:adjustRightInd w:val="0"/>
      <w:spacing w:line="360" w:lineRule="auto"/>
    </w:pPr>
    <w:rPr>
      <w:rFonts w:eastAsia="Times New Roman"/>
      <w:kern w:val="0"/>
      <w:sz w:val="20"/>
      <w:szCs w:val="20"/>
    </w:rPr>
  </w:style>
  <w:style w:type="paragraph" w:customStyle="1" w:styleId="240">
    <w:name w:val="FA正文"/>
    <w:basedOn w:val="1"/>
    <w:qFormat/>
    <w:uiPriority w:val="0"/>
    <w:pPr>
      <w:spacing w:line="360" w:lineRule="auto"/>
      <w:ind w:right="-50" w:rightChars="-24" w:firstLine="266" w:firstLineChars="111"/>
    </w:pPr>
    <w:rPr>
      <w:rFonts w:ascii="宋体" w:hAnsi="宋体" w:cs="宋体"/>
      <w:color w:val="000000"/>
      <w:sz w:val="24"/>
      <w:szCs w:val="21"/>
    </w:rPr>
  </w:style>
  <w:style w:type="paragraph" w:customStyle="1" w:styleId="24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42">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44">
    <w:name w:val="文档正文"/>
    <w:basedOn w:val="1"/>
    <w:qFormat/>
    <w:uiPriority w:val="0"/>
    <w:pPr>
      <w:adjustRightInd w:val="0"/>
      <w:spacing w:line="480" w:lineRule="atLeast"/>
      <w:ind w:firstLine="2400" w:firstLineChars="1000"/>
      <w:textAlignment w:val="baseline"/>
      <w:outlineLvl w:val="0"/>
    </w:pPr>
    <w:rPr>
      <w:rFonts w:ascii="长城仿宋"/>
      <w:kern w:val="0"/>
      <w:sz w:val="24"/>
      <w:szCs w:val="20"/>
    </w:rPr>
  </w:style>
  <w:style w:type="paragraph" w:customStyle="1" w:styleId="245">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6">
    <w:name w:val="xl67"/>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47">
    <w:name w:val="Char Char1 Char Char Char Char1"/>
    <w:basedOn w:val="1"/>
    <w:qFormat/>
    <w:uiPriority w:val="0"/>
    <w:rPr>
      <w:rFonts w:ascii="Tahoma" w:hAnsi="Tahoma"/>
      <w:sz w:val="24"/>
      <w:szCs w:val="20"/>
    </w:rPr>
  </w:style>
  <w:style w:type="paragraph" w:customStyle="1" w:styleId="248">
    <w:name w:val="样式 标题 3 + 楷体_GB2312"/>
    <w:basedOn w:val="6"/>
    <w:qFormat/>
    <w:uiPriority w:val="0"/>
    <w:pPr>
      <w:widowControl/>
      <w:numPr>
        <w:numId w:val="0"/>
      </w:numPr>
      <w:tabs>
        <w:tab w:val="left" w:pos="5100"/>
        <w:tab w:val="clear" w:pos="5852"/>
      </w:tabs>
      <w:snapToGrid/>
      <w:spacing w:before="120" w:line="360" w:lineRule="auto"/>
      <w:jc w:val="left"/>
    </w:pPr>
    <w:rPr>
      <w:rFonts w:ascii="楷体_GB2312" w:hAnsi="楷体_GB2312" w:eastAsia="楷体_GB2312"/>
      <w:b w:val="0"/>
      <w:kern w:val="0"/>
      <w:sz w:val="21"/>
      <w:szCs w:val="21"/>
    </w:rPr>
  </w:style>
  <w:style w:type="paragraph" w:customStyle="1" w:styleId="249">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50">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1">
    <w:name w:val="font1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2">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3">
    <w:name w:val="表格标题"/>
    <w:basedOn w:val="176"/>
    <w:qFormat/>
    <w:uiPriority w:val="0"/>
    <w:pPr>
      <w:numPr>
        <w:numId w:val="0"/>
      </w:numPr>
      <w:jc w:val="center"/>
    </w:pPr>
    <w:rPr>
      <w:b/>
    </w:rPr>
  </w:style>
  <w:style w:type="paragraph" w:customStyle="1" w:styleId="254">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6">
    <w:name w:val="正文1"/>
    <w:basedOn w:val="1"/>
    <w:qFormat/>
    <w:uiPriority w:val="0"/>
    <w:pPr>
      <w:overflowPunct w:val="0"/>
    </w:pPr>
    <w:rPr>
      <w:kern w:val="1"/>
      <w:szCs w:val="21"/>
      <w:lang w:eastAsia="ar-SA"/>
    </w:rPr>
  </w:style>
  <w:style w:type="paragraph" w:customStyle="1" w:styleId="257">
    <w:name w:val="Char Char1 Char Char Char1"/>
    <w:basedOn w:val="16"/>
    <w:qFormat/>
    <w:uiPriority w:val="0"/>
    <w:rPr>
      <w:rFonts w:ascii="Tahoma" w:hAnsi="Tahoma"/>
      <w:sz w:val="24"/>
    </w:rPr>
  </w:style>
  <w:style w:type="paragraph" w:customStyle="1" w:styleId="258">
    <w:name w:val="font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9">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260">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262">
    <w:name w:val="active"/>
    <w:basedOn w:val="40"/>
    <w:qFormat/>
    <w:uiPriority w:val="0"/>
    <w:rPr>
      <w:shd w:val="clear" w:color="auto" w:fill="EC3535"/>
    </w:rPr>
  </w:style>
  <w:style w:type="paragraph" w:customStyle="1" w:styleId="263">
    <w:name w:val="Body text|1"/>
    <w:basedOn w:val="1"/>
    <w:qFormat/>
    <w:uiPriority w:val="0"/>
    <w:pPr>
      <w:spacing w:line="480" w:lineRule="auto"/>
      <w:ind w:firstLine="400"/>
    </w:pPr>
    <w:rPr>
      <w:rFonts w:ascii="宋体" w:hAnsi="宋体" w:eastAsia="宋体" w:cs="宋体"/>
      <w:sz w:val="20"/>
      <w:szCs w:val="20"/>
      <w:lang w:val="zh-TW" w:eastAsia="zh-TW" w:bidi="zh-TW"/>
    </w:rPr>
  </w:style>
  <w:style w:type="paragraph" w:customStyle="1" w:styleId="264">
    <w:name w:val="p0"/>
    <w:basedOn w:val="1"/>
    <w:qFormat/>
    <w:uiPriority w:val="0"/>
    <w:rPr>
      <w:sz w:val="32"/>
      <w:szCs w:val="32"/>
    </w:rPr>
  </w:style>
  <w:style w:type="paragraph" w:customStyle="1" w:styleId="265">
    <w:name w:val="!正文10"/>
    <w:basedOn w:val="1"/>
    <w:qFormat/>
    <w:uiPriority w:val="0"/>
    <w:pPr>
      <w:ind w:firstLine="480"/>
      <w:jc w:val="both"/>
    </w:pPr>
    <w:rPr>
      <w:rFonts w:ascii="Arial" w:hAnsi="Arial" w:cs="Times New Roman"/>
      <w:szCs w:val="20"/>
    </w:rPr>
  </w:style>
  <w:style w:type="paragraph" w:customStyle="1" w:styleId="266">
    <w:name w:val="！正文格式"/>
    <w:basedOn w:val="1"/>
    <w:qFormat/>
    <w:uiPriority w:val="0"/>
    <w:pPr>
      <w:widowControl w:val="0"/>
      <w:adjustRightInd w:val="0"/>
      <w:snapToGrid w:val="0"/>
      <w:spacing w:line="600" w:lineRule="exact"/>
      <w:jc w:val="both"/>
    </w:pPr>
    <w:rPr>
      <w:rFonts w:ascii="Times New Roman" w:hAnsi="Times New Roman" w:eastAsia="仿宋" w:cs="Times New Roman"/>
      <w:kern w:val="2"/>
      <w:sz w:val="28"/>
    </w:rPr>
  </w:style>
  <w:style w:type="paragraph" w:customStyle="1" w:styleId="267">
    <w:name w:val="*正文"/>
    <w:basedOn w:val="1"/>
    <w:qFormat/>
    <w:uiPriority w:val="0"/>
  </w:style>
  <w:style w:type="paragraph" w:styleId="268">
    <w:name w:val="List Paragraph"/>
    <w:basedOn w:val="1"/>
    <w:qFormat/>
    <w:uiPriority w:val="34"/>
    <w:pPr>
      <w:spacing w:line="240" w:lineRule="auto"/>
      <w:ind w:firstLine="420"/>
    </w:pPr>
  </w:style>
  <w:style w:type="paragraph" w:customStyle="1" w:styleId="269">
    <w:name w:val="Table Paragraph"/>
    <w:basedOn w:val="1"/>
    <w:qFormat/>
    <w:uiPriority w:val="1"/>
    <w:rPr>
      <w:rFonts w:ascii="宋体" w:hAnsi="宋体" w:eastAsia="宋体" w:cs="宋体"/>
      <w:lang w:val="zh-CN" w:eastAsia="zh-CN" w:bidi="zh-CN"/>
    </w:rPr>
  </w:style>
  <w:style w:type="table" w:customStyle="1" w:styleId="2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59d419bd-570b-46d2-99d2-710ca1f6ef7c</errorID>
      <errorWord>二0二六</errorWord>
      <group>L1_Knowledge</group>
      <groupName>知识性问题</groupName>
      <ability>L2_Knowledge</ability>
      <abilityName>其他知识</abilityName>
      <candidateList>
        <item>二〇二六</item>
      </candidateList>
      <explain>中文数字应使用“〇”，而非形似的字符，如“0”。该字符在不同字体下外观可能相似，但含义和编码不同，请注意区分。</explain>
      <paraID>4A863EA6</paraID>
      <start>0</start>
      <end>4</end>
      <status>unmodified</status>
      <modifiedWord/>
      <trackRevisions>false</trackRevisions>
    </reviewItem>
    <reviewItem>
      <errorID>4035ca09-4ab3-4ae7-9e1d-9e219bbf1ece</errorID>
      <errorWord>项号</errorWord>
      <group>L1_Word</group>
      <groupName>字词问题</groupName>
      <ability>L2_Typo</ability>
      <abilityName>字词错误</abilityName>
      <candidateList>
        <item>项</item>
      </candidateList>
      <explain/>
      <paraID>487BDD57</paraID>
      <start>23</start>
      <end>25</end>
      <status>unmodified</status>
      <modifiedWord/>
      <trackRevisions>false</trackRevisions>
    </reviewItem>
    <reviewItem>
      <errorID>7185e40f-0361-4e9a-8f7b-d13d7bfc687a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D59E5A1</paraID>
      <start>0</start>
      <end>2</end>
      <status>unmodified</status>
      <modifiedWord/>
      <trackRevisions>false</trackRevisions>
    </reviewItem>
    <reviewItem>
      <errorID>5920af1a-eaa6-4619-b5ca-226971904d04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5DCE5445</paraID>
      <start>0</start>
      <end>2</end>
      <status>unmodified</status>
      <modifiedWord/>
      <trackRevisions>false</trackRevisions>
    </reviewItem>
    <reviewItem>
      <errorID>3eeaef74-7fcc-4fd4-a7e4-7e279885876c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326D64C6</paraID>
      <start>0</start>
      <end>2</end>
      <status>unmodified</status>
      <modifiedWord/>
      <trackRevisions>false</trackRevisions>
    </reviewItem>
    <reviewItem>
      <errorID>a6a23d2e-18a2-46d1-99b9-f45b63549e0b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724797B7</paraID>
      <start>0</start>
      <end>2</end>
      <status>unmodified</status>
      <modifiedWord/>
      <trackRevisions>false</trackRevisions>
    </reviewItem>
    <reviewItem>
      <errorID>3c98118d-1da1-4461-b1a5-fbb35f3887ff</errorID>
      <errorWord>项号</errorWord>
      <group>L1_Word</group>
      <groupName>字词问题</groupName>
      <ability>L2_Typo</ability>
      <abilityName>字词错误</abilityName>
      <candidateList>
        <item>项</item>
      </candidateList>
      <explain/>
      <paraID>2B0C8604</paraID>
      <start>16</start>
      <end>18</end>
      <status>unmodified</status>
      <modifiedWord/>
      <trackRevisions>false</trackRevisions>
    </reviewItem>
    <reviewItem>
      <errorID>cf0030d8-df6f-4569-a3fd-36e14a0b7d18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5142166A</paraID>
      <start>0</start>
      <end>2</end>
      <status>unmodified</status>
      <modifiedWord/>
      <trackRevisions>false</trackRevisions>
    </reviewItem>
    <reviewItem>
      <errorID>6027d221-c2f7-4504-8b5c-b032613a63d6</errorID>
      <errorWord>购</errorWord>
      <group>L1_Word</group>
      <groupName>字词问题</groupName>
      <ability>L2_Typo</ability>
      <abilityName>字词错误</abilityName>
      <candidateList>
        <item>购管</item>
      </candidateList>
      <explain/>
      <paraID>7F86B7CE</paraID>
      <start>1</start>
      <end>2</end>
      <status>unmodified</status>
      <modifiedWord/>
      <trackRevisions>false</trackRevisions>
    </reviewItem>
    <reviewItem>
      <errorID>e1786d0f-4b84-49eb-81a3-e17d3b6594f0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5A599CC3</paraID>
      <start>0</start>
      <end>2</end>
      <status>unmodified</status>
      <modifiedWord/>
      <trackRevisions>false</trackRevisions>
    </reviewItem>
    <reviewItem>
      <errorID>4703cab1-4f30-4d13-97ab-72d0a6e60279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A0E6ECE</paraID>
      <start>0</start>
      <end>2</end>
      <status>unmodified</status>
      <modifiedWord/>
      <trackRevisions>false</trackRevisions>
    </reviewItem>
    <reviewItem>
      <errorID>f0184a73-a329-4917-8c77-1099a553935b</errorID>
      <errorWord>内</errorWord>
      <group>L1_Word</group>
      <groupName>字词问题</groupName>
      <ability>L2_Typo</ability>
      <abilityName>字词错误</abilityName>
      <candidateList>
        <item>内将</item>
      </candidateList>
      <explain/>
      <paraID>54EFCFCA</paraID>
      <start>38</start>
      <end>39</end>
      <status>unmodified</status>
      <modifiedWord/>
      <trackRevisions>false</trackRevisions>
    </reviewItem>
    <reviewItem>
      <errorID>de8375bb-dbf1-4880-b309-dbce9e3c03f3</errorID>
      <errorWord>,</errorWord>
      <group>L1_Format</group>
      <groupName>格式问题</groupName>
      <ability>L2_HalfPunc_CN</ability>
      <abilityName>全半角问题</abilityName>
      <candidateList>
        <item>，</item>
      </candidateList>
      <explain>文本全半角错误。</explain>
      <paraID>6527A50D</paraID>
      <start>16</start>
      <end>17</end>
      <status>unmodified</status>
      <modifiedWord/>
      <trackRevisions>false</trackRevisions>
    </reviewItem>
    <reviewItem>
      <errorID>160941d0-955c-49b8-8722-ba1bf2b1b009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4ECE8C76</paraID>
      <start>0</start>
      <end>2</end>
      <status>unmodified</status>
      <modifiedWord/>
      <trackRevisions>false</trackRevisions>
    </reviewItem>
    <reviewItem>
      <errorID>b53bae4b-96a8-4e46-ab90-20036ffc7614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3DEF482B</paraID>
      <start>0</start>
      <end>2</end>
      <status>unmodified</status>
      <modifiedWord/>
      <trackRevisions>false</trackRevisions>
    </reviewItem>
    <reviewItem>
      <errorID>47bdce85-8596-4957-af1d-66884b27743c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203F6AFC</paraID>
      <start>0</start>
      <end>2</end>
      <status>unmodified</status>
      <modifiedWord/>
      <trackRevisions>false</trackRevisions>
    </reviewItem>
    <reviewItem>
      <errorID>0c55361f-dc16-4da7-88eb-beccdc81abc5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7AFC6BA2</paraID>
      <start>0</start>
      <end>3</end>
      <status>unmodified</status>
      <modifiedWord/>
      <trackRevisions>false</trackRevisions>
    </reviewItem>
    <reviewItem>
      <errorID>5bcce108-66bb-4143-9517-2f2d287cb586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39EE41F9</paraID>
      <start>0</start>
      <end>3</end>
      <status>unmodified</status>
      <modifiedWord/>
      <trackRevisions>false</trackRevisions>
    </reviewItem>
    <reviewItem>
      <errorID>a53cdaeb-b41b-4396-a08a-15a9598c3750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6B94E2F0</paraID>
      <start>0</start>
      <end>3</end>
      <status>unmodified</status>
      <modifiedWord/>
      <trackRevisions>false</trackRevisions>
    </reviewItem>
    <reviewItem>
      <errorID>308ba6fe-51d0-435a-8724-d1f51ad40716</errorID>
      <errorWord>资格性</errorWord>
      <group>L1_Word</group>
      <groupName>字词问题</groupName>
      <ability>L2_Typo</ability>
      <abilityName>字词错误</abilityName>
      <candidateList>
        <item>资格</item>
      </candidateList>
      <explain/>
      <paraID>6524B1FF</paraID>
      <start>22</start>
      <end>25</end>
      <status>unmodified</status>
      <modifiedWord/>
      <trackRevisions>false</trackRevisions>
    </reviewItem>
    <reviewItem>
      <errorID>7a7be34f-4b6c-4db4-8baf-85f3fc3ada65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53110490</paraID>
      <start>0</start>
      <end>3</end>
      <status>unmodified</status>
      <modifiedWord/>
      <trackRevisions>false</trackRevisions>
    </reviewItem>
    <reviewItem>
      <errorID>be8a9ac9-83c7-4de3-ad4e-365ff9432163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7B69CAA1</paraID>
      <start>0</start>
      <end>3</end>
      <status>unmodified</status>
      <modifiedWord/>
      <trackRevisions>false</trackRevisions>
    </reviewItem>
    <reviewItem>
      <errorID>d3af6619-670b-436f-83c3-c9b6feaf90df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44FBB673</paraID>
      <start>0</start>
      <end>3</end>
      <status>unmodified</status>
      <modifiedWord/>
      <trackRevisions>false</trackRevisions>
    </reviewItem>
    <reviewItem>
      <errorID>5502e67b-5ee8-4560-96a8-08a3e9512eb1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66A20181</paraID>
      <start>0</start>
      <end>3</end>
      <status>unmodified</status>
      <modifiedWord/>
      <trackRevisions>false</trackRevisions>
    </reviewItem>
    <reviewItem>
      <errorID>0606bb8d-4fdf-45bb-89cf-108bd80435db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770F5542</paraID>
      <start>0</start>
      <end>3</end>
      <status>unmodified</status>
      <modifiedWord/>
      <trackRevisions>false</trackRevisions>
    </reviewItem>
    <reviewItem>
      <errorID>d7ee3da1-8f2c-4573-8027-d7d89b1a20c4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2F378144</paraID>
      <start>0</start>
      <end>3</end>
      <status>unmodified</status>
      <modifiedWord/>
      <trackRevisions>false</trackRevisions>
    </reviewItem>
    <reviewItem>
      <errorID>bc56d7bd-f752-4ca3-83f7-9de01efae7c8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5E6B141B</paraID>
      <start>0</start>
      <end>3</end>
      <status>unmodified</status>
      <modifiedWord/>
      <trackRevisions>false</trackRevisions>
    </reviewItem>
    <reviewItem>
      <errorID>3e2a62e0-0461-4b09-a5d7-68da260bdb36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37D522C8</paraID>
      <start>0</start>
      <end>3</end>
      <status>unmodified</status>
      <modifiedWord/>
      <trackRevisions>false</trackRevisions>
    </reviewItem>
    <reviewItem>
      <errorID>8fedc8c1-d58e-43bb-8683-626746002876</errorID>
      <errorWord>(</errorWord>
      <group>L1_Format</group>
      <groupName>格式问题</groupName>
      <ability>L2_HalfPunc_CN</ability>
      <abilityName>全半角问题</abilityName>
      <candidateList>
        <item>（</item>
      </candidateList>
      <explain>文本全半角错误。</explain>
      <paraID>37D522C8</paraID>
      <start>21</start>
      <end>22</end>
      <status>unmodified</status>
      <modifiedWord/>
      <trackRevisions>false</trackRevisions>
    </reviewItem>
    <reviewItem>
      <errorID>0c7cfd4c-231e-418c-a731-0f1b0c2e8850</errorID>
      <errorWord>)</errorWord>
      <group>L1_Format</group>
      <groupName>格式问题</groupName>
      <ability>L2_HalfPunc_CN</ability>
      <abilityName>全半角问题</abilityName>
      <candidateList>
        <item>）</item>
      </candidateList>
      <explain>文本全半角错误。</explain>
      <paraID>37D522C8</paraID>
      <start>25</start>
      <end>26</end>
      <status>unmodified</status>
      <modifiedWord/>
      <trackRevisions>false</trackRevisions>
    </reviewItem>
    <reviewItem>
      <errorID>8a6eb461-6710-4374-a346-1151a393e7c4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533C7F41</paraID>
      <start>0</start>
      <end>3</end>
      <status>unmodified</status>
      <modifiedWord/>
      <trackRevisions>false</trackRevisions>
    </reviewItem>
    <reviewItem>
      <errorID>419713e8-e133-498a-a4ab-f2d7634b36e6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2500C277</paraID>
      <start>0</start>
      <end>3</end>
      <status>unmodified</status>
      <modifiedWord/>
      <trackRevisions>false</trackRevisions>
    </reviewItem>
    <reviewItem>
      <errorID>fa769eb0-b064-4eaf-99fe-e541429516bf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295A4B3A</paraID>
      <start>0</start>
      <end>3</end>
      <status>unmodified</status>
      <modifiedWord/>
      <trackRevisions>false</trackRevisions>
    </reviewItem>
    <reviewItem>
      <errorID>a6ed7768-dabd-4968-a6b4-74d8d1ee87e4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47D7B064</paraID>
      <start>0</start>
      <end>2</end>
      <status>unmodified</status>
      <modifiedWord/>
      <trackRevisions>false</trackRevisions>
    </reviewItem>
    <reviewItem>
      <errorID>1e8c4821-1182-42fe-871f-298f88b942ea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2E4041DD</paraID>
      <start>0</start>
      <end>2</end>
      <status>unmodified</status>
      <modifiedWord/>
      <trackRevisions>false</trackRevisions>
    </reviewItem>
    <reviewItem>
      <errorID>4c72613b-4cbe-4860-a6e6-a97ba3f8a4c4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605C6CA3</paraID>
      <start>0</start>
      <end>2</end>
      <status>unmodified</status>
      <modifiedWord/>
      <trackRevisions>false</trackRevisions>
    </reviewItem>
    <reviewItem>
      <errorID>9c1523c9-ec38-499f-a087-fac2a4854504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87AD3F6</paraID>
      <start>0</start>
      <end>2</end>
      <status>unmodified</status>
      <modifiedWord/>
      <trackRevisions>false</trackRevisions>
    </reviewItem>
    <reviewItem>
      <errorID>3dfc13d8-497f-4ad6-9610-13f09cc9258d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7B71EED9</paraID>
      <start>0</start>
      <end>2</end>
      <status>unmodified</status>
      <modifiedWord/>
      <trackRevisions>false</trackRevisions>
    </reviewItem>
    <reviewItem>
      <errorID>12f49907-c15f-45af-9244-c46df3310575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4E55D872</paraID>
      <start>0</start>
      <end>2</end>
      <status>unmodified</status>
      <modifiedWord/>
      <trackRevisions>false</trackRevisions>
    </reviewItem>
    <reviewItem>
      <errorID>5933741d-1cf7-4142-8fca-19a5c59d1635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5A5972C6</paraID>
      <start>0</start>
      <end>2</end>
      <status>unmodified</status>
      <modifiedWord/>
      <trackRevisions>false</trackRevisions>
    </reviewItem>
    <reviewItem>
      <errorID>772423ea-3a38-40e1-abdc-a42f68102a9d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1B774855</paraID>
      <start>0</start>
      <end>2</end>
      <status>unmodified</status>
      <modifiedWord/>
      <trackRevisions>false</trackRevisions>
    </reviewItem>
    <reviewItem>
      <errorID>ad38cea9-87b6-4211-abbd-01b7b15f89f9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173DCA38</paraID>
      <start>0</start>
      <end>2</end>
      <status>unmodified</status>
      <modifiedWord/>
      <trackRevisions>false</trackRevisions>
    </reviewItem>
    <reviewItem>
      <errorID>076688cf-d096-4c17-844f-1bc97fa60962</errorID>
      <errorWord>其它</errorWord>
      <group>L1_Word</group>
      <groupName>字词问题</groupName>
      <ability>L2_Alias</ability>
      <abilityName>也作/曾用词</abilityName>
      <candidateList>
        <item>其他</item>
      </candidateList>
      <explain>词汇[其它]为不规范表述或旧称，其规范书面表述为[其他]。</explain>
      <paraID>2628009E</paraID>
      <start>8</start>
      <end>10</end>
      <status>unmodified</status>
      <modifiedWord/>
      <trackRevisions>false</trackRevisions>
    </reviewItem>
    <reviewItem>
      <errorID>e1755692-4ee0-4d31-9f86-5d711897d493</errorID>
      <errorWord>程</errorWord>
      <group>L1_Word</group>
      <groupName>字词问题</groupName>
      <ability>L2_Typo</ability>
      <abilityName>字词错误</abilityName>
      <candidateList>
        <item>程中</item>
      </candidateList>
      <explain/>
      <paraID>102BA16F</paraID>
      <start>90</start>
      <end>91</end>
      <status>unmodified</status>
      <modifiedWord/>
      <trackRevisions>false</trackRevisions>
    </reviewItem>
    <reviewItem>
      <errorID>cf2a621b-5098-44bc-835e-cbbf43f287e7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5FC0F083</paraID>
      <start>0</start>
      <end>2</end>
      <status>unmodified</status>
      <modifiedWord/>
      <trackRevisions>false</trackRevisions>
    </reviewItem>
    <reviewItem>
      <errorID>bb28c693-b6c7-4b41-b3d1-378081d6e8d9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6A6CE6F</paraID>
      <start>0</start>
      <end>2</end>
      <status>unmodified</status>
      <modifiedWord/>
      <trackRevisions>false</trackRevisions>
    </reviewItem>
    <reviewItem>
      <errorID>ca97e59a-4b83-42f8-ba43-cd6688b441e4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78724AF</paraID>
      <start>0</start>
      <end>2</end>
      <status>unmodified</status>
      <modifiedWord/>
      <trackRevisions>false</trackRevisions>
    </reviewItem>
    <reviewItem>
      <errorID>edb452ad-8161-4ce6-81b8-61491e92a36c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4A1DD5C2</paraID>
      <start>0</start>
      <end>2</end>
      <status>unmodified</status>
      <modifiedWord/>
      <trackRevisions>false</trackRevisions>
    </reviewItem>
    <reviewItem>
      <errorID>5e9659f9-33a2-4a86-aeef-b4ea996f5a76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3D3F9C36</paraID>
      <start>0</start>
      <end>2</end>
      <status>unmodified</status>
      <modifiedWord/>
      <trackRevisions>false</trackRevisions>
    </reviewItem>
    <reviewItem>
      <errorID>b79d8c28-b2f7-4424-b216-7705dade9163</errorID>
      <errorWord>(</errorWord>
      <group>L1_Format</group>
      <groupName>格式问题</groupName>
      <ability>L2_HalfPunc_CN</ability>
      <abilityName>全半角问题</abilityName>
      <candidateList>
        <item>（</item>
      </candidateList>
      <explain>文本全半角错误。</explain>
      <paraID>22389DC7</paraID>
      <start>2</start>
      <end>3</end>
      <status>unmodified</status>
      <modifiedWord/>
      <trackRevisions>false</trackRevisions>
    </reviewItem>
    <reviewItem>
      <errorID>6cd425a7-7c78-407c-bdfe-36010c9a0f02</errorID>
      <errorWord>)</errorWord>
      <group>L1_Format</group>
      <groupName>格式问题</groupName>
      <ability>L2_HalfPunc_CN</ability>
      <abilityName>全半角问题</abilityName>
      <candidateList>
        <item>）</item>
      </candidateList>
      <explain>文本全半角错误。</explain>
      <paraID>22389DC7</paraID>
      <start>13</start>
      <end>14</end>
      <status>unmodified</status>
      <modifiedWord/>
      <trackRevisions>false</trackRevisions>
    </reviewItem>
    <reviewItem>
      <errorID>f453cfa6-a699-4cb1-ba28-175d77c0dd04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E557686</paraID>
      <start>0</start>
      <end>2</end>
      <status>unmodified</status>
      <modifiedWord/>
      <trackRevisions>false</trackRevisions>
    </reviewItem>
    <reviewItem>
      <errorID>e709b989-7f37-444b-9d71-4373ada5e17c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3517A4B2</paraID>
      <start>0</start>
      <end>2</end>
      <status>unmodified</status>
      <modifiedWord/>
      <trackRevisions>false</trackRevisions>
    </reviewItem>
    <reviewItem>
      <errorID>fc90ef39-ac9d-4102-a2a2-b7a9a291c418</errorID>
      <errorWord>其它</errorWord>
      <group>L1_Word</group>
      <groupName>字词问题</groupName>
      <ability>L2_Alias</ability>
      <abilityName>也作/曾用词</abilityName>
      <candidateList>
        <item>其他</item>
      </candidateList>
      <explain>词汇[其它]为不规范表述或旧称，其规范书面表述为[其他]。</explain>
      <paraID>15D0E038</paraID>
      <start>8</start>
      <end>10</end>
      <status>unmodified</status>
      <modifiedWord/>
      <trackRevisions>false</trackRevisions>
    </reviewItem>
    <reviewItem>
      <errorID>de92f2e3-1c4e-407c-b337-5588836b9056</errorID>
      <errorWord>其它</errorWord>
      <group>L1_Word</group>
      <groupName>字词问题</groupName>
      <ability>L2_Alias</ability>
      <abilityName>也作/曾用词</abilityName>
      <candidateList>
        <item>其他</item>
      </candidateList>
      <explain>词汇[其它]为不规范表述或旧称，其规范书面表述为[其他]。</explain>
      <paraID>73111A88</paraID>
      <start>7</start>
      <end>9</end>
      <status>unmodified</status>
      <modifiedWord/>
      <trackRevisions>false</trackRevisions>
    </reviewItem>
    <reviewItem>
      <errorID>6f20a8eb-fc91-4fe4-aa2f-3b29857319ff</errorID>
      <errorWord>弟三点</errorWord>
      <group>L1_Word</group>
      <groupName>字词问题</groupName>
      <ability>L2_Typo</ability>
      <abilityName>字词错误</abilityName>
      <candidateList>
        <item>第三点</item>
      </candidateList>
      <explain/>
      <paraID>73111A88</paraID>
      <start>21</start>
      <end>24</end>
      <status>modified</status>
      <modifiedWord>第三点</modifiedWord>
      <trackRevisions>false</trackRevisions>
    </reviewItem>
    <reviewItem>
      <errorID>b12903a9-4686-4ded-9346-2bdbfb6c03be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6FAF757B</paraID>
      <start>0</start>
      <end>2</end>
      <status>unmodified</status>
      <modifiedWord/>
      <trackRevisions>false</trackRevisions>
    </reviewItem>
    <reviewItem>
      <errorID>4e100a6a-510c-4d69-89b3-276f6b6b22dc</errorID>
      <errorWord>，</errorWord>
      <group>L1_Word</group>
      <groupName>字词问题</groupName>
      <ability>L2_Typo</ability>
      <abilityName>字词错误</abilityName>
      <candidateList>
        <item>，将</item>
      </candidateList>
      <explain/>
      <paraID>5078BC90</paraID>
      <start>67</start>
      <end>68</end>
      <status>unmodified</status>
      <modifiedWord/>
      <trackRevisions>false</trackRevisions>
    </reviewItem>
    <reviewItem>
      <errorID>1acc70a3-c803-40f9-a435-c74570399464</errorID>
      <errorWord>....</errorWord>
      <group>L1_Punc</group>
      <groupName>标点问题</groupName>
      <ability>L2_Punc_CN</ability>
      <abilityName>标点符号问题</abilityName>
      <candidateList>
        <item>……</item>
      </candidateList>
      <explain>省略号错误。</explain>
      <paraID>2DF8CAA4</paraID>
      <start>6</start>
      <end>10</end>
      <status>unmodified</status>
      <modifiedWord/>
      <trackRevisions>false</trackRevisions>
    </reviewItem>
    <reviewItem>
      <errorID>ff150201-34da-421b-bddc-5f6f17322c94</errorID>
      <errorWord>....</errorWord>
      <group>L1_Punc</group>
      <groupName>标点问题</groupName>
      <ability>L2_Punc_CN</ability>
      <abilityName>标点符号问题</abilityName>
      <candidateList>
        <item>……</item>
      </candidateList>
      <explain>省略号错误。</explain>
      <paraID>450A43A4</paraID>
      <start>19</start>
      <end>23</end>
      <status>unmodified</status>
      <modifiedWord/>
      <trackRevisions>false</trackRevisions>
    </reviewItem>
    <reviewItem>
      <errorID>5e730233-be84-4f01-814d-724954a1d621</errorID>
      <errorWord>....</errorWord>
      <group>L1_Punc</group>
      <groupName>标点问题</groupName>
      <ability>L2_Punc_CN</ability>
      <abilityName>标点符号问题</abilityName>
      <candidateList>
        <item>……</item>
      </candidateList>
      <explain>省略号错误。</explain>
      <paraID> F7FC1C6</paraID>
      <start>6</start>
      <end>10</end>
      <status>unmodified</status>
      <modifiedWord/>
      <trackRevisions>false</trackRevisions>
    </reviewItem>
    <reviewItem>
      <errorID>9af079f0-2fa5-432d-ac49-3f7f7afdef50</errorID>
      <errorWord>....</errorWord>
      <group>L1_Punc</group>
      <groupName>标点问题</groupName>
      <ability>L2_Punc_CN</ability>
      <abilityName>标点符号问题</abilityName>
      <candidateList>
        <item>……</item>
      </candidateList>
      <explain>省略号错误。</explain>
      <paraID>68FEFC93</paraID>
      <start>6</start>
      <end>10</end>
      <status>unmodified</status>
      <modifiedWord/>
      <trackRevisions>false</trackRevisions>
    </reviewItem>
    <reviewItem>
      <errorID>43f9018e-e84b-4928-8a7d-bc956664e57d</errorID>
      <errorWord>....</errorWord>
      <group>L1_Punc</group>
      <groupName>标点问题</groupName>
      <ability>L2_Punc_CN</ability>
      <abilityName>标点符号问题</abilityName>
      <candidateList>
        <item>……</item>
      </candidateList>
      <explain>省略号错误。</explain>
      <paraID>7B5E9284</paraID>
      <start>6</start>
      <end>10</end>
      <status>unmodified</status>
      <modifiedWord/>
      <trackRevisions>false</trackRevisions>
    </reviewItem>
    <reviewItem>
      <errorID>89a719f0-2a08-44f4-a893-c7e4f14752de</errorID>
      <errorWord>(</errorWord>
      <group>L1_Format</group>
      <groupName>格式问题</groupName>
      <ability>L2_HalfPunc_CN</ability>
      <abilityName>全半角问题</abilityName>
      <candidateList>
        <item>（</item>
      </candidateList>
      <explain>文本全半角错误。</explain>
      <paraID> E42B205</paraID>
      <start>0</start>
      <end>1</end>
      <status>unmodified</status>
      <modifiedWord/>
      <trackRevisions>false</trackRevisions>
    </reviewItem>
    <reviewItem>
      <errorID>57b98349-1f0f-49be-9b3e-066827ace1ad</errorID>
      <errorWord>)</errorWord>
      <group>L1_Format</group>
      <groupName>格式问题</groupName>
      <ability>L2_HalfPunc_CN</ability>
      <abilityName>全半角问题</abilityName>
      <candidateList>
        <item>）</item>
      </candidateList>
      <explain>文本全半角错误。</explain>
      <paraID> E42B205</paraID>
      <start>26</start>
      <end>27</end>
      <status>unmodified</status>
      <modifiedWord/>
      <trackRevisions>false</trackRevisions>
    </reviewItem>
    <reviewItem>
      <errorID>b03f0bb5-c216-4f02-b35f-3d1dcd8d41c5</errorID>
      <errorWord>......</errorWord>
      <group>L1_Punc</group>
      <groupName>标点问题</groupName>
      <ability>L2_Punc_CN</ability>
      <abilityName>标点符号问题</abilityName>
      <candidateList>
        <item>……</item>
      </candidateList>
      <explain/>
      <paraID>23BB0650</paraID>
      <start>0</start>
      <end>6</end>
      <status>unmodified</status>
      <modifiedWord/>
      <trackRevisions>false</trackRevisions>
    </reviewItem>
    <reviewItem>
      <errorID>0aa8258b-3323-4140-a6af-62d0b2b470b4</errorID>
      <errorWord>......</errorWord>
      <group>L1_Punc</group>
      <groupName>标点问题</groupName>
      <ability>L2_Punc_CN</ability>
      <abilityName>标点符号问题</abilityName>
      <candidateList>
        <item>……</item>
      </candidateList>
      <explain/>
      <paraID>57B87C9D</paraID>
      <start>0</start>
      <end>6</end>
      <status>unmodified</status>
      <modifiedWord/>
      <trackRevisions>false</trackRevisions>
    </reviewItem>
    <reviewItem>
      <errorID>0fdf80db-3eb2-469e-bf7c-33366415c8e3</errorID>
      <errorWord>(</errorWord>
      <group>L1_Format</group>
      <groupName>格式问题</groupName>
      <ability>L2_HalfPunc_CN</ability>
      <abilityName>全半角问题</abilityName>
      <candidateList>
        <item>（</item>
      </candidateList>
      <explain>文本全半角错误。</explain>
      <paraID>7F06CD49</paraID>
      <start>0</start>
      <end>1</end>
      <status>unmodified</status>
      <modifiedWord/>
      <trackRevisions>false</trackRevisions>
    </reviewItem>
    <reviewItem>
      <errorID>d3e1a195-69e3-48bd-af08-83b7bc3ffdfd</errorID>
      <errorWord>)</errorWord>
      <group>L1_Format</group>
      <groupName>格式问题</groupName>
      <ability>L2_HalfPunc_CN</ability>
      <abilityName>全半角问题</abilityName>
      <candidateList>
        <item>）</item>
      </candidateList>
      <explain>文本全半角错误。</explain>
      <paraID>7F06CD49</paraID>
      <start>26</start>
      <end>27</end>
      <status>unmodified</status>
      <modifiedWord/>
      <trackRevisions>false</trackRevisions>
    </reviewItem>
    <reviewItem>
      <errorID>86d25a30-5e32-4a3c-87c2-fc1939f886e8</errorID>
      <errorWord>无隐形收费</errorWord>
      <group>L1_Word</group>
      <groupName>字词问题</groupName>
      <ability>L2_Typo</ability>
      <abilityName>字词错误</abilityName>
      <candidateList>
        <item>无隐性收费</item>
      </candidateList>
      <explain/>
      <paraID> 1D61A8A</paraID>
      <start>40</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14361-458d-49e9-84ad-e354161be4f7}">
  <ds:schemaRefs/>
</ds:datastoreItem>
</file>

<file path=docProps/app.xml><?xml version="1.0" encoding="utf-8"?>
<Properties xmlns="http://schemas.openxmlformats.org/officeDocument/2006/extended-properties" xmlns:vt="http://schemas.openxmlformats.org/officeDocument/2006/docPropsVTypes">
  <Template>Normal.dotm</Template>
  <Company>中软海晟</Company>
  <Pages>37</Pages>
  <Words>6939</Words>
  <Characters>7393</Characters>
  <Lines>260</Lines>
  <Paragraphs>73</Paragraphs>
  <TotalTime>4</TotalTime>
  <ScaleCrop>false</ScaleCrop>
  <LinksUpToDate>false</LinksUpToDate>
  <CharactersWithSpaces>7477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2022-08-19T11:17:00Z</dcterms:created>
  <dc:creator>中软海晟</dc:creator>
  <cp:lastModifiedBy>WPS</cp:lastModifiedBy>
  <cp:lastPrinted>2022-10-08T17:17:00Z</cp:lastPrinted>
  <dcterms:modified xsi:type="dcterms:W3CDTF">2026-06-30T04:02:20Z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64E7AD72DCCC428E87037C0030993E1E_13</vt:lpwstr>
  </property>
  <property fmtid="{D5CDD505-2E9C-101B-9397-08002B2CF9AE}" pid="4" name="KSOTemplateDocerSaveRecord">
    <vt:lpwstr>eyJoZGlkIjoiNjMyOTE1Zjc4ZTVjMDRjOTUwOThiNTU3M2RlOTFhMWUiLCJ1c2VySWQiOiI1MTk5MzA2NjAifQ==</vt:lpwstr>
  </property>
</Properties>
</file>